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A8795" w14:textId="265FBA4D" w:rsidR="00D04501" w:rsidRDefault="005B1936" w:rsidP="00084A64">
      <w:pPr>
        <w:rPr>
          <w:lang w:val="en-US"/>
        </w:rPr>
      </w:pPr>
      <w:r w:rsidRPr="00057FD7">
        <w:rPr>
          <w:b/>
          <w:bCs/>
          <w:lang w:val="en-US"/>
        </w:rPr>
        <w:t>Supplementary Table 1</w:t>
      </w:r>
      <w:r w:rsidR="00F42E31" w:rsidRPr="00057FD7">
        <w:rPr>
          <w:b/>
          <w:bCs/>
          <w:lang w:val="en-US"/>
        </w:rPr>
        <w:t>.</w:t>
      </w:r>
      <w:r w:rsidR="00F42E31">
        <w:rPr>
          <w:lang w:val="en-US"/>
        </w:rPr>
        <w:t xml:space="preserve"> </w:t>
      </w:r>
      <w:r w:rsidR="002922AB">
        <w:rPr>
          <w:lang w:val="en-US"/>
        </w:rPr>
        <w:t>ICD-10 coded d</w:t>
      </w:r>
      <w:r w:rsidR="00BB2760">
        <w:rPr>
          <w:lang w:val="en-US"/>
        </w:rPr>
        <w:t>iagnoses and c</w:t>
      </w:r>
      <w:r w:rsidR="000933A4">
        <w:rPr>
          <w:lang w:val="en-US"/>
        </w:rPr>
        <w:t xml:space="preserve">omplex symptoms </w:t>
      </w:r>
      <w:r w:rsidR="00BB2760">
        <w:rPr>
          <w:lang w:val="en-US"/>
        </w:rPr>
        <w:t>reported by participants</w:t>
      </w:r>
      <w:r w:rsidR="009A2618">
        <w:rPr>
          <w:lang w:val="en-US"/>
        </w:rPr>
        <w:t xml:space="preserve"> in relation to mRNA COVID-19 vaccination</w:t>
      </w:r>
      <w:r w:rsidR="00F42E31">
        <w:rPr>
          <w:lang w:val="en-US"/>
        </w:rPr>
        <w:t xml:space="preserve">, </w:t>
      </w:r>
      <w:r w:rsidR="009D57CF">
        <w:rPr>
          <w:lang w:val="en-US"/>
        </w:rPr>
        <w:t>and if the diseases was registered during Phase 3 trials for mRNA COVID-19 vaccines Pfizer and/or Moderna (r</w:t>
      </w:r>
      <w:r w:rsidR="009D57CF" w:rsidRPr="00D266E9">
        <w:rPr>
          <w:lang w:val="en-US"/>
        </w:rPr>
        <w:t>eported</w:t>
      </w:r>
      <w:r w:rsidR="009D57CF">
        <w:rPr>
          <w:lang w:val="en-US"/>
        </w:rPr>
        <w:t xml:space="preserve"> as either an adverse event to the mRNA vaccines in main publications/supplementary material or registered in the trial data available via EMA/FDA, but not necessarily deemed associated to the mRNA vaccine). Examples of </w:t>
      </w:r>
      <w:r w:rsidR="008E19AC">
        <w:rPr>
          <w:lang w:val="en-US"/>
        </w:rPr>
        <w:t>s</w:t>
      </w:r>
      <w:r w:rsidR="00F42E31">
        <w:rPr>
          <w:lang w:val="en-US"/>
        </w:rPr>
        <w:t xml:space="preserve">imilar association (if any) described in published literature per </w:t>
      </w:r>
      <w:r w:rsidR="004D7D1A">
        <w:rPr>
          <w:lang w:val="en-US"/>
        </w:rPr>
        <w:t>March</w:t>
      </w:r>
      <w:r w:rsidR="00F42E31">
        <w:rPr>
          <w:lang w:val="en-US"/>
        </w:rPr>
        <w:t xml:space="preserve"> 2025</w:t>
      </w:r>
      <w:r w:rsidR="009D57CF">
        <w:rPr>
          <w:lang w:val="en-US"/>
        </w:rPr>
        <w:t xml:space="preserve">, </w:t>
      </w:r>
      <w:r w:rsidR="00300D46">
        <w:rPr>
          <w:lang w:val="en-US"/>
        </w:rPr>
        <w:t>and the affected age group</w:t>
      </w:r>
      <w:r w:rsidR="0038568E">
        <w:rPr>
          <w:lang w:val="en-US"/>
        </w:rPr>
        <w:t xml:space="preserve">. </w:t>
      </w:r>
    </w:p>
    <w:tbl>
      <w:tblPr>
        <w:tblStyle w:val="TableGrid"/>
        <w:tblpPr w:leftFromText="141" w:rightFromText="141" w:vertAnchor="text" w:horzAnchor="margin" w:tblpY="612"/>
        <w:tblW w:w="13887" w:type="dxa"/>
        <w:tblLayout w:type="fixed"/>
        <w:tblLook w:val="04A0" w:firstRow="1" w:lastRow="0" w:firstColumn="1" w:lastColumn="0" w:noHBand="0" w:noVBand="1"/>
      </w:tblPr>
      <w:tblGrid>
        <w:gridCol w:w="988"/>
        <w:gridCol w:w="2976"/>
        <w:gridCol w:w="2268"/>
        <w:gridCol w:w="1843"/>
        <w:gridCol w:w="3402"/>
        <w:gridCol w:w="2410"/>
      </w:tblGrid>
      <w:tr w:rsidR="00F06A67" w:rsidRPr="00631F0E" w14:paraId="5A0C85F8" w14:textId="77777777" w:rsidTr="00E5078C">
        <w:tc>
          <w:tcPr>
            <w:tcW w:w="988" w:type="dxa"/>
          </w:tcPr>
          <w:p w14:paraId="089CADD7" w14:textId="2D3B7E1F" w:rsidR="00CD4E4A" w:rsidRPr="002F58EA" w:rsidRDefault="00CD4E4A" w:rsidP="00692E86">
            <w:pPr>
              <w:rPr>
                <w:rFonts w:cstheme="minorHAnsi"/>
                <w:b/>
                <w:bCs/>
                <w:sz w:val="24"/>
                <w:szCs w:val="24"/>
                <w:lang w:val="en-US"/>
              </w:rPr>
            </w:pPr>
            <w:r w:rsidRPr="002F58EA">
              <w:rPr>
                <w:rFonts w:cstheme="minorHAnsi"/>
                <w:b/>
                <w:bCs/>
                <w:sz w:val="24"/>
                <w:szCs w:val="24"/>
                <w:lang w:val="en-US"/>
              </w:rPr>
              <w:t xml:space="preserve">ID </w:t>
            </w:r>
          </w:p>
        </w:tc>
        <w:tc>
          <w:tcPr>
            <w:tcW w:w="2976" w:type="dxa"/>
          </w:tcPr>
          <w:p w14:paraId="7DC5B6B7" w14:textId="77777777" w:rsidR="00CD4E4A" w:rsidRPr="002F58EA" w:rsidRDefault="00CD4E4A" w:rsidP="00692E86">
            <w:pPr>
              <w:rPr>
                <w:rFonts w:cstheme="minorHAnsi"/>
                <w:b/>
                <w:bCs/>
                <w:sz w:val="24"/>
                <w:szCs w:val="24"/>
                <w:lang w:val="en-US"/>
              </w:rPr>
            </w:pPr>
            <w:r w:rsidRPr="002F58EA">
              <w:rPr>
                <w:rFonts w:cstheme="minorHAnsi"/>
                <w:b/>
                <w:bCs/>
                <w:sz w:val="24"/>
                <w:szCs w:val="24"/>
                <w:lang w:val="en-US"/>
              </w:rPr>
              <w:t xml:space="preserve">Diagnosis </w:t>
            </w:r>
          </w:p>
        </w:tc>
        <w:tc>
          <w:tcPr>
            <w:tcW w:w="2268" w:type="dxa"/>
          </w:tcPr>
          <w:p w14:paraId="24FF91BA" w14:textId="3E96AF08" w:rsidR="00CD4E4A" w:rsidRPr="002F58EA" w:rsidRDefault="00CD4E4A" w:rsidP="00692E86">
            <w:pPr>
              <w:rPr>
                <w:rFonts w:cstheme="minorHAnsi"/>
                <w:b/>
                <w:bCs/>
                <w:sz w:val="24"/>
                <w:szCs w:val="24"/>
                <w:lang w:val="en-US"/>
              </w:rPr>
            </w:pPr>
            <w:r w:rsidRPr="002F58EA">
              <w:rPr>
                <w:rFonts w:cstheme="minorHAnsi"/>
                <w:b/>
                <w:bCs/>
                <w:sz w:val="24"/>
                <w:szCs w:val="24"/>
                <w:lang w:val="en-US"/>
              </w:rPr>
              <w:t xml:space="preserve">Reported during </w:t>
            </w:r>
            <w:r>
              <w:rPr>
                <w:rFonts w:cstheme="minorHAnsi"/>
                <w:b/>
                <w:bCs/>
                <w:sz w:val="24"/>
                <w:szCs w:val="24"/>
                <w:lang w:val="en-US"/>
              </w:rPr>
              <w:t>phase 3</w:t>
            </w:r>
            <w:r w:rsidRPr="002F58EA">
              <w:rPr>
                <w:rFonts w:cstheme="minorHAnsi"/>
                <w:b/>
                <w:bCs/>
                <w:sz w:val="24"/>
                <w:szCs w:val="24"/>
                <w:lang w:val="en-US"/>
              </w:rPr>
              <w:t xml:space="preserve"> trials in children</w:t>
            </w:r>
            <w:r>
              <w:rPr>
                <w:rFonts w:cstheme="minorHAnsi"/>
                <w:b/>
                <w:bCs/>
                <w:sz w:val="24"/>
                <w:szCs w:val="24"/>
                <w:lang w:val="en-US"/>
              </w:rPr>
              <w:t xml:space="preserve"> &lt; 18 years</w:t>
            </w:r>
          </w:p>
        </w:tc>
        <w:tc>
          <w:tcPr>
            <w:tcW w:w="1843" w:type="dxa"/>
          </w:tcPr>
          <w:p w14:paraId="5A111068" w14:textId="35C59BDA" w:rsidR="00CD4E4A" w:rsidRPr="002F58EA" w:rsidRDefault="00CD4E4A" w:rsidP="00692E86">
            <w:pPr>
              <w:rPr>
                <w:rFonts w:cstheme="minorHAnsi"/>
                <w:b/>
                <w:bCs/>
                <w:sz w:val="24"/>
                <w:szCs w:val="24"/>
                <w:lang w:val="en-US"/>
              </w:rPr>
            </w:pPr>
            <w:r w:rsidRPr="002F58EA">
              <w:rPr>
                <w:rFonts w:cstheme="minorHAnsi"/>
                <w:b/>
                <w:bCs/>
                <w:sz w:val="24"/>
                <w:szCs w:val="24"/>
                <w:lang w:val="en-US"/>
              </w:rPr>
              <w:t xml:space="preserve">Reported during </w:t>
            </w:r>
            <w:r>
              <w:rPr>
                <w:rFonts w:cstheme="minorHAnsi"/>
                <w:b/>
                <w:bCs/>
                <w:sz w:val="24"/>
                <w:szCs w:val="24"/>
                <w:lang w:val="en-US"/>
              </w:rPr>
              <w:t>phase 3</w:t>
            </w:r>
            <w:r w:rsidRPr="002F58EA">
              <w:rPr>
                <w:rFonts w:cstheme="minorHAnsi"/>
                <w:b/>
                <w:bCs/>
                <w:sz w:val="24"/>
                <w:szCs w:val="24"/>
                <w:lang w:val="en-US"/>
              </w:rPr>
              <w:t xml:space="preserve"> trials in </w:t>
            </w:r>
            <w:r>
              <w:rPr>
                <w:rFonts w:cstheme="minorHAnsi"/>
                <w:b/>
                <w:bCs/>
                <w:sz w:val="24"/>
                <w:szCs w:val="24"/>
                <w:lang w:val="en-US"/>
              </w:rPr>
              <w:t>adults</w:t>
            </w:r>
          </w:p>
        </w:tc>
        <w:tc>
          <w:tcPr>
            <w:tcW w:w="3402" w:type="dxa"/>
          </w:tcPr>
          <w:p w14:paraId="7B866129" w14:textId="6BC81778" w:rsidR="00CD4E4A" w:rsidRPr="002F58EA" w:rsidRDefault="00CD4E4A" w:rsidP="00692E86">
            <w:pPr>
              <w:rPr>
                <w:rFonts w:cstheme="minorHAnsi"/>
                <w:b/>
                <w:bCs/>
                <w:sz w:val="24"/>
                <w:szCs w:val="24"/>
                <w:lang w:val="en-US"/>
              </w:rPr>
            </w:pPr>
            <w:r w:rsidRPr="002F58EA">
              <w:rPr>
                <w:rFonts w:cstheme="minorHAnsi"/>
                <w:b/>
                <w:bCs/>
                <w:sz w:val="24"/>
                <w:szCs w:val="24"/>
                <w:lang w:val="en-US"/>
              </w:rPr>
              <w:t xml:space="preserve">Exampled of published literature </w:t>
            </w:r>
          </w:p>
        </w:tc>
        <w:tc>
          <w:tcPr>
            <w:tcW w:w="2410" w:type="dxa"/>
          </w:tcPr>
          <w:p w14:paraId="6D4A64DE" w14:textId="77777777" w:rsidR="00CD4E4A" w:rsidRPr="002F58EA" w:rsidRDefault="00CD4E4A" w:rsidP="00692E86">
            <w:pPr>
              <w:rPr>
                <w:rFonts w:cstheme="minorHAnsi"/>
                <w:b/>
                <w:bCs/>
                <w:sz w:val="24"/>
                <w:szCs w:val="24"/>
                <w:lang w:val="en-US"/>
              </w:rPr>
            </w:pPr>
            <w:r w:rsidRPr="002F58EA">
              <w:rPr>
                <w:rFonts w:cstheme="minorHAnsi"/>
                <w:b/>
                <w:bCs/>
                <w:sz w:val="24"/>
                <w:szCs w:val="24"/>
                <w:lang w:val="en-US"/>
              </w:rPr>
              <w:t>Age or age groups of cases in published literature</w:t>
            </w:r>
          </w:p>
        </w:tc>
      </w:tr>
      <w:tr w:rsidR="00CD4E4A" w:rsidRPr="002F58EA" w14:paraId="52ABFEA7" w14:textId="77777777" w:rsidTr="00E5078C">
        <w:tc>
          <w:tcPr>
            <w:tcW w:w="11477" w:type="dxa"/>
            <w:gridSpan w:val="5"/>
          </w:tcPr>
          <w:p w14:paraId="2D7C5589" w14:textId="141D1505" w:rsidR="00CD4E4A" w:rsidRPr="002F58EA" w:rsidRDefault="00C61060" w:rsidP="00692E86">
            <w:pPr>
              <w:rPr>
                <w:rFonts w:cstheme="minorHAnsi"/>
                <w:b/>
                <w:bCs/>
                <w:sz w:val="24"/>
                <w:szCs w:val="24"/>
                <w:lang w:val="en-US"/>
              </w:rPr>
            </w:pPr>
            <w:r>
              <w:rPr>
                <w:rFonts w:cstheme="minorHAnsi"/>
                <w:b/>
                <w:bCs/>
                <w:sz w:val="24"/>
                <w:szCs w:val="24"/>
                <w:lang w:val="en-US"/>
              </w:rPr>
              <w:t>Diseases with a</w:t>
            </w:r>
            <w:r w:rsidR="00CD4E4A" w:rsidRPr="002F58EA">
              <w:rPr>
                <w:rFonts w:cstheme="minorHAnsi"/>
                <w:b/>
                <w:bCs/>
                <w:sz w:val="24"/>
                <w:szCs w:val="24"/>
                <w:lang w:val="en-US"/>
              </w:rPr>
              <w:t>utoimmune</w:t>
            </w:r>
            <w:r>
              <w:rPr>
                <w:rFonts w:cstheme="minorHAnsi"/>
                <w:b/>
                <w:bCs/>
                <w:sz w:val="24"/>
                <w:szCs w:val="24"/>
                <w:lang w:val="en-US"/>
              </w:rPr>
              <w:t xml:space="preserve"> features</w:t>
            </w:r>
          </w:p>
        </w:tc>
        <w:tc>
          <w:tcPr>
            <w:tcW w:w="2410" w:type="dxa"/>
          </w:tcPr>
          <w:p w14:paraId="15EA2577" w14:textId="77777777" w:rsidR="00CD4E4A" w:rsidRPr="002F58EA" w:rsidRDefault="00CD4E4A" w:rsidP="00692E86">
            <w:pPr>
              <w:rPr>
                <w:rFonts w:cstheme="minorHAnsi"/>
                <w:b/>
                <w:bCs/>
                <w:sz w:val="24"/>
                <w:szCs w:val="24"/>
                <w:lang w:val="en-US"/>
              </w:rPr>
            </w:pPr>
          </w:p>
        </w:tc>
      </w:tr>
      <w:tr w:rsidR="00F06A67" w:rsidRPr="00631F0E" w14:paraId="2B8E1E60" w14:textId="77777777" w:rsidTr="00E5078C">
        <w:tc>
          <w:tcPr>
            <w:tcW w:w="988" w:type="dxa"/>
          </w:tcPr>
          <w:p w14:paraId="2B551DE4" w14:textId="77777777" w:rsidR="00CD4E4A" w:rsidRPr="002F58EA" w:rsidRDefault="00CD4E4A" w:rsidP="00692E86">
            <w:pPr>
              <w:rPr>
                <w:rFonts w:cstheme="minorHAnsi"/>
                <w:sz w:val="24"/>
                <w:szCs w:val="24"/>
              </w:rPr>
            </w:pPr>
            <w:r w:rsidRPr="002F58EA">
              <w:rPr>
                <w:rFonts w:cstheme="minorHAnsi"/>
                <w:sz w:val="24"/>
                <w:szCs w:val="24"/>
              </w:rPr>
              <w:t>7</w:t>
            </w:r>
          </w:p>
        </w:tc>
        <w:tc>
          <w:tcPr>
            <w:tcW w:w="2976" w:type="dxa"/>
          </w:tcPr>
          <w:p w14:paraId="7B6889C4" w14:textId="77777777" w:rsidR="00CD4E4A" w:rsidRPr="002F58EA" w:rsidRDefault="00CD4E4A" w:rsidP="00692E86">
            <w:pPr>
              <w:rPr>
                <w:rFonts w:cstheme="minorHAnsi"/>
                <w:b/>
                <w:bCs/>
                <w:sz w:val="24"/>
                <w:szCs w:val="24"/>
                <w:lang w:val="en-US"/>
              </w:rPr>
            </w:pPr>
            <w:proofErr w:type="spellStart"/>
            <w:r w:rsidRPr="002F58EA">
              <w:rPr>
                <w:rFonts w:cstheme="minorHAnsi"/>
                <w:sz w:val="24"/>
                <w:szCs w:val="24"/>
              </w:rPr>
              <w:t>Acute</w:t>
            </w:r>
            <w:proofErr w:type="spellEnd"/>
            <w:r w:rsidRPr="002F58EA">
              <w:rPr>
                <w:rFonts w:cstheme="minorHAnsi"/>
                <w:sz w:val="24"/>
                <w:szCs w:val="24"/>
              </w:rPr>
              <w:t xml:space="preserve"> </w:t>
            </w:r>
            <w:proofErr w:type="spellStart"/>
            <w:r w:rsidRPr="002F58EA">
              <w:rPr>
                <w:rFonts w:cstheme="minorHAnsi"/>
                <w:sz w:val="24"/>
                <w:szCs w:val="24"/>
              </w:rPr>
              <w:t>nephritic</w:t>
            </w:r>
            <w:proofErr w:type="spellEnd"/>
            <w:r w:rsidRPr="002F58EA">
              <w:rPr>
                <w:rFonts w:cstheme="minorHAnsi"/>
                <w:sz w:val="24"/>
                <w:szCs w:val="24"/>
              </w:rPr>
              <w:t xml:space="preserve"> </w:t>
            </w:r>
            <w:proofErr w:type="spellStart"/>
            <w:r w:rsidRPr="002F58EA">
              <w:rPr>
                <w:rFonts w:cstheme="minorHAnsi"/>
                <w:sz w:val="24"/>
                <w:szCs w:val="24"/>
              </w:rPr>
              <w:t>syndrome</w:t>
            </w:r>
            <w:proofErr w:type="spellEnd"/>
          </w:p>
        </w:tc>
        <w:tc>
          <w:tcPr>
            <w:tcW w:w="2268" w:type="dxa"/>
          </w:tcPr>
          <w:p w14:paraId="747A3184" w14:textId="4CE08246" w:rsidR="00CD4E4A" w:rsidRPr="002F58EA" w:rsidRDefault="00CD4E4A" w:rsidP="00692E86">
            <w:pPr>
              <w:rPr>
                <w:rFonts w:cstheme="minorHAnsi"/>
                <w:sz w:val="24"/>
                <w:szCs w:val="24"/>
                <w:lang w:val="en-US"/>
              </w:rPr>
            </w:pPr>
            <w:r w:rsidRPr="002F58EA">
              <w:rPr>
                <w:rFonts w:cstheme="minorHAnsi"/>
                <w:sz w:val="24"/>
                <w:szCs w:val="24"/>
                <w:lang w:val="en-US"/>
              </w:rPr>
              <w:t>No</w:t>
            </w:r>
          </w:p>
        </w:tc>
        <w:tc>
          <w:tcPr>
            <w:tcW w:w="1843" w:type="dxa"/>
          </w:tcPr>
          <w:p w14:paraId="2830F612" w14:textId="71EBC349" w:rsidR="00CD4E4A" w:rsidRPr="002F58EA" w:rsidRDefault="00093281" w:rsidP="00692E86">
            <w:pPr>
              <w:ind w:left="1304" w:hanging="1304"/>
              <w:rPr>
                <w:rFonts w:cstheme="minorHAnsi"/>
                <w:sz w:val="24"/>
                <w:szCs w:val="24"/>
                <w:lang w:val="en-US"/>
              </w:rPr>
            </w:pPr>
            <w:r>
              <w:rPr>
                <w:rFonts w:cstheme="minorHAnsi"/>
                <w:sz w:val="24"/>
                <w:szCs w:val="24"/>
                <w:lang w:val="en-US"/>
              </w:rPr>
              <w:t>No</w:t>
            </w:r>
          </w:p>
        </w:tc>
        <w:tc>
          <w:tcPr>
            <w:tcW w:w="3402" w:type="dxa"/>
          </w:tcPr>
          <w:p w14:paraId="0ECA84F9" w14:textId="7D5DB425" w:rsidR="00CD4E4A" w:rsidRPr="002F58EA" w:rsidRDefault="00CD4E4A" w:rsidP="00692E86">
            <w:pPr>
              <w:ind w:left="1304" w:hanging="1304"/>
              <w:rPr>
                <w:rFonts w:cstheme="minorHAnsi"/>
                <w:sz w:val="24"/>
                <w:szCs w:val="24"/>
                <w:lang w:val="en-US"/>
              </w:rPr>
            </w:pPr>
            <w:r w:rsidRPr="002F58EA">
              <w:rPr>
                <w:rFonts w:cstheme="minorHAnsi"/>
                <w:sz w:val="24"/>
                <w:szCs w:val="24"/>
                <w:lang w:val="en-US"/>
              </w:rPr>
              <w:t>Pharmacovigilance</w:t>
            </w:r>
            <w:r w:rsidR="00673232" w:rsidRPr="008E19AC">
              <w:rPr>
                <w:vertAlign w:val="superscript"/>
                <w:lang w:val="en-US"/>
              </w:rPr>
              <w:t>¤</w:t>
            </w:r>
            <w:r w:rsidRPr="002F58EA">
              <w:rPr>
                <w:rFonts w:cstheme="minorHAnsi"/>
                <w:sz w:val="24"/>
                <w:szCs w:val="24"/>
                <w:lang w:val="en-US"/>
              </w:rPr>
              <w:fldChar w:fldCharType="begin"/>
            </w:r>
            <w:r w:rsidRPr="002F58EA">
              <w:rPr>
                <w:rFonts w:cstheme="minorHAnsi"/>
                <w:sz w:val="24"/>
                <w:szCs w:val="24"/>
                <w:lang w:val="en-US"/>
              </w:rPr>
              <w:instrText xml:space="preserve"> ADDIN ZOTERO_ITEM CSL_CITATION {"citationID":"rMdjApDN","properties":{"formattedCitation":"[1]","plainCitation":"[1]","noteIndex":0},"citationItems":[{"id":954,"uris":["http://zotero.org/users/12610245/items/A6S4SQDJ"],"itemData":{"id":954,"type":"article-journal","abstract":"Global evidence on the association between vaccines and renal adverse events (AEs) is inconclusive. This pharmacovigilance study analyzed a total of 120,715,116 reports from VigiBase collected between 1967 and 2022. We evaluated the global reporting of acute kidney injury (AKI), glomerulonephritis (GN), and tubulointerstitial nephritis (TIN) and assessed disproportionate signals between vaccines and renal AEs using reporting odds ratios (ROR) and the lower limit of the 95% confidence interval of the information component (IC025) in comparison with the entire database. The number and proportion of reports on AKI, GN, and TIN gradually increased, with a substantial increase after 2020. Disproportionate reporting of AKI was significant for COVID-19 mRNA vaccines (ROR, 2.38; IC025, 1.09). Fourteen vaccines were significantly disproportionate for higher GN reporting, and the highest disproportionality for GN reporting was observed for COVID-19 mRNA (ROR, 13.41; IC025, 2.90) and hepatitis B vaccines (ROR, 11.35; IC025, 3.18). Disproportionate TIN reporting was significant for COVID-19 mRNA (ROR, 2.43; IC025, 0.99) and human papillomavirus (ROR, 1.75; IC025, 0.19) vaccines. Significant disproportionality in the reporting of AKI, GN, and TIN was observed in patients exposed to multiple vaccines, including COVID-19 mRNA vaccines, alongside increasing global reports of vaccine-associated renal AEs.","container-title":"Scientific Reports","DOI":"10.1038/s41598-025-88713-x","ISSN":"2045-2322","issue":"1","journalAbbreviation":"Sci Rep","language":"eng","note":"PMID: 39939373\nPMCID: PMC11821952","page":"5177","source":"PubMed","title":"Global burden of vaccine-associated kidney injury using an international pharmacovigilance database","volume":"15","author":[{"family":"Hwang","given":"Hyeon Seok"},{"family":"Lee","given":"Hayeon"},{"family":"Yoon","given":"Soo-Young"},{"family":"Kim","given":"Jin Sug"},{"family":"Jeong","given":"Kyunghwan"},{"family":"Kronbichler","given":"Andreas"},{"family":"Kim","given":"Hyeon Jin"},{"family":"Kim","given":"Min Seo"},{"family":"Rahmati","given":"Masoud"},{"family":"Shin","given":"Ju-Young"},{"family":"Choi","given":"Ahhyung"},{"family":"Shin","given":"Jae Il"},{"family":"Lee","given":"Jinseok"},{"family":"Yon","given":"Dong Keon"}],"issued":{"date-parts":[["2025",2,12]]}}}],"schema":"https://github.com/citation-style-language/schema/raw/master/csl-citation.json"} </w:instrText>
            </w:r>
            <w:r w:rsidRPr="002F58EA">
              <w:rPr>
                <w:rFonts w:cstheme="minorHAnsi"/>
                <w:sz w:val="24"/>
                <w:szCs w:val="24"/>
                <w:lang w:val="en-US"/>
              </w:rPr>
              <w:fldChar w:fldCharType="separate"/>
            </w:r>
            <w:r w:rsidRPr="002F58EA">
              <w:rPr>
                <w:rFonts w:cstheme="minorHAnsi"/>
                <w:sz w:val="24"/>
                <w:szCs w:val="24"/>
                <w:lang w:val="en-US"/>
              </w:rPr>
              <w:t>[1]</w:t>
            </w:r>
            <w:r w:rsidRPr="002F58EA">
              <w:rPr>
                <w:rFonts w:cstheme="minorHAnsi"/>
                <w:sz w:val="24"/>
                <w:szCs w:val="24"/>
                <w:lang w:val="en-US"/>
              </w:rPr>
              <w:fldChar w:fldCharType="end"/>
            </w:r>
          </w:p>
          <w:p w14:paraId="0A5C0D37" w14:textId="3ABC2AFF" w:rsidR="00CD4E4A" w:rsidRPr="002F58EA" w:rsidRDefault="00CD4E4A" w:rsidP="00692E86">
            <w:pPr>
              <w:ind w:left="1304" w:hanging="1304"/>
              <w:rPr>
                <w:rFonts w:cstheme="minorHAnsi"/>
                <w:sz w:val="24"/>
                <w:szCs w:val="24"/>
                <w:lang w:val="en-US"/>
              </w:rPr>
            </w:pPr>
            <w:r w:rsidRPr="002F58EA">
              <w:rPr>
                <w:rFonts w:cstheme="minorHAnsi"/>
                <w:sz w:val="24"/>
                <w:szCs w:val="24"/>
                <w:lang w:val="en-US"/>
              </w:rPr>
              <w:t>Systematic reviews of</w:t>
            </w:r>
            <w:r w:rsidR="00A57452">
              <w:rPr>
                <w:rFonts w:cstheme="minorHAnsi"/>
                <w:sz w:val="24"/>
                <w:szCs w:val="24"/>
                <w:lang w:val="en-US"/>
              </w:rPr>
              <w:t xml:space="preserve"> </w:t>
            </w:r>
            <w:r w:rsidRPr="002F58EA">
              <w:rPr>
                <w:rFonts w:cstheme="minorHAnsi"/>
                <w:sz w:val="24"/>
                <w:szCs w:val="24"/>
                <w:lang w:val="en-US"/>
              </w:rPr>
              <w:t>cases</w:t>
            </w:r>
            <w:r w:rsidRPr="002F58EA">
              <w:rPr>
                <w:rFonts w:cstheme="minorHAnsi"/>
                <w:sz w:val="24"/>
                <w:szCs w:val="24"/>
                <w:lang w:val="en-US"/>
              </w:rPr>
              <w:fldChar w:fldCharType="begin"/>
            </w:r>
            <w:r w:rsidRPr="002F58EA">
              <w:rPr>
                <w:rFonts w:cstheme="minorHAnsi"/>
                <w:sz w:val="24"/>
                <w:szCs w:val="24"/>
                <w:lang w:val="en-US"/>
              </w:rPr>
              <w:instrText xml:space="preserve"> ADDIN ZOTERO_ITEM CSL_CITATION {"citationID":"z7J1PkaA","properties":{"formattedCitation":"[2]","plainCitation":"[2]","noteIndex":0},"citationItems":[{"id":850,"uris":["http://zotero.org/users/12610245/items/LHFAU9DC"],"itemData":{"id":850,"type":"article-journal","abstract":"The 2019 coronavirus disease (COVID-19) pandemic caused by severe acute respiratory syndrome coronavirus type 2 (SARS-CoV-2) has posed a considerable challenge to global healthcare. Acute interstitial nephritis (AIN) post SARS-CoV-2 infection and vaccination has been reported, but its clinical features and pathogenesis remained unclear. We reviewed so far the largest 22 cases of AIN post SARS-CoV-2 infection and 36 cases of AIN following COVID-19 vaccination. The onset of AIN was mainly related to messenger RNA vaccines (52.8%). Apart from fever, proteinuria (45.5%) was the main manifestation of AIN post SARS-CoV-2 infection, left acute kidney injury (AKI, 63.9%) in patients post COVID-19 vaccination. The potential mechanism of vaccination induced AIN was conjugating vaccines with proteins to form a hapten, which activated dendritic cells and promoted a cascade immunological reaction leading to AIN.","container-title":"Journal of Epidemiology and Global Health","DOI":"10.1007/s44197-023-00159-4","ISSN":"2210-6014","issue":"4","journalAbbreviation":"J Epidemiol Glob Health","language":"en","page":"615-636","source":"Springer Link","title":"New-Onset Acute Interstitial Nephritis Post-SARS-CoV-2 Infection and COVID-19 Vaccination: A Panoramic Review","title-short":"New-Onset Acute Interstitial Nephritis Post-SARS-CoV-2 Infection and COVID-19 Vaccination","volume":"13","author":[{"family":"Wang","given":"Yu"},{"family":"Yang","given":"Ling"},{"family":"Xu","given":"Gaosi"}],"issued":{"date-parts":[["2023",12,1]]}}}],"schema":"https://github.com/citation-style-language/schema/raw/master/csl-citation.json"} </w:instrText>
            </w:r>
            <w:r w:rsidRPr="002F58EA">
              <w:rPr>
                <w:rFonts w:cstheme="minorHAnsi"/>
                <w:sz w:val="24"/>
                <w:szCs w:val="24"/>
                <w:lang w:val="en-US"/>
              </w:rPr>
              <w:fldChar w:fldCharType="separate"/>
            </w:r>
            <w:r w:rsidRPr="002F58EA">
              <w:rPr>
                <w:rFonts w:cstheme="minorHAnsi"/>
                <w:sz w:val="24"/>
                <w:szCs w:val="24"/>
                <w:lang w:val="en-US"/>
              </w:rPr>
              <w:t>[2]</w:t>
            </w:r>
            <w:r w:rsidRPr="002F58EA">
              <w:rPr>
                <w:rFonts w:cstheme="minorHAnsi"/>
                <w:sz w:val="24"/>
                <w:szCs w:val="24"/>
                <w:lang w:val="en-US"/>
              </w:rPr>
              <w:fldChar w:fldCharType="end"/>
            </w:r>
          </w:p>
          <w:p w14:paraId="0873B8C5" w14:textId="77777777" w:rsidR="00CD4E4A" w:rsidRPr="002F58EA" w:rsidRDefault="00CD4E4A" w:rsidP="00692E86">
            <w:pPr>
              <w:rPr>
                <w:rFonts w:cstheme="minorHAnsi"/>
                <w:sz w:val="24"/>
                <w:szCs w:val="24"/>
                <w:lang w:val="en-US"/>
              </w:rPr>
            </w:pPr>
            <w:r w:rsidRPr="002F58EA">
              <w:rPr>
                <w:rFonts w:cstheme="minorHAnsi"/>
                <w:sz w:val="24"/>
                <w:szCs w:val="24"/>
                <w:lang w:val="en-US"/>
              </w:rPr>
              <w:t>Case reports</w:t>
            </w:r>
            <w:r w:rsidRPr="002F58EA">
              <w:rPr>
                <w:rFonts w:cstheme="minorHAnsi"/>
                <w:sz w:val="24"/>
                <w:szCs w:val="24"/>
                <w:lang w:val="en-US"/>
              </w:rPr>
              <w:fldChar w:fldCharType="begin"/>
            </w:r>
            <w:r w:rsidRPr="002F58EA">
              <w:rPr>
                <w:rFonts w:cstheme="minorHAnsi"/>
                <w:sz w:val="24"/>
                <w:szCs w:val="24"/>
                <w:lang w:val="en-US"/>
              </w:rPr>
              <w:instrText xml:space="preserve"> ADDIN ZOTERO_ITEM CSL_CITATION {"citationID":"Zt0nbk5Y","properties":{"formattedCitation":"[3,4]","plainCitation":"[3,4]","noteIndex":0},"citationItems":[{"id":852,"uris":["http://zotero.org/users/12610245/items/ZM5FZZCV"],"itemData":{"id":852,"type":"article-journal","abstract":"In the context of the massive spread of coronavirus disease 2019 (COVID-19), the development of a COVID-19 vaccine is urgently needed. The Pfizer-BioNTech COVID-19 vaccine has been widely applied across global populations. Herein, we report a case of acute interstitial nephritis with acute kidney injury in a young healthy subject after administration of the COVID-19 vaccine. A 20-year-old man was admitted with abdominal discomfort and nausea. He had received the Pfizer-BioNTech COVID-19 vaccine 6 days before. At 9 days after vaccination, his kidney function was decreased, with serum creatinine levels of 1.8 mg/dL. Even with supportive care with hydration, his kidney function worsened, and he underwent a kidney biopsy. The pathology findings revealed diffuse interstitial infiltration of inflammatory cells, predominantly comprising lymphocytes, with preservation of the glomerulus. No abnormal findings were noted by immunofluorescence or electron microscopy. Based on a diagnosis of drug-related acute interstitial nephritis, we treated the patient with high-dose prednisolone. After administration of prednisolone, kidney function slowly improved. A close linkage between COVID-19 vaccination and acute interstitial nephritis should be considered in the clinic, despite the low incidence.","container-title":"Clinical and Experimental Vaccine Research","DOI":"10.7774/cevr.2024.13.1.68","ISSN":"2287-3651","issue":"1","journalAbbreviation":"Clin Exp Vaccine Res","note":"PMID: 38362370\nPMCID: PMC10864883","page":"68-71","source":"PubMed Central","title":"Acute interstitial nephritis with acute kidney injury after COVID-19 vaccination: a case report","title-short":"Acute interstitial nephritis with acute kidney injury after COVID-19 vaccination","volume":"13","author":[{"family":"Lim","given":"Jimin"},{"family":"Paek","given":"Jin Hyuk"},{"family":"Shin","given":"Hyeong Chan"},{"family":"Park","given":"Woo Yeong"},{"family":"Jin","given":"Kyubok"},{"family":"Choe","given":"Misun"},{"family":"Han","given":"Seungyeup"},{"family":"Kim","given":"Yaerim"}],"issued":{"date-parts":[["2024",1]]}}},{"id":855,"uris":["http://zotero.org/users/12610245/items/K9HXUXLB"],"itemData":{"id":855,"type":"article-journal","abstract":"Various new vaccines against severe acute respiratory syndrome coronavirus 2 (SARS-CoV-2) have been rapidly developed. The new onset and recurrence of nephrotic syndrome triggered by some vaccines have been documented and several adult cases of minimal change nephrotic syndrome newly developing after SARS-CoV-2 vaccination have been reported. However, no reports of pediatric cases have been published. Indications for SARS-CoV-2 vaccines have been expanded to those as young as 12 years old and vaccination of children has just started in Japan. We encountered a 15-year-old boy without underlying disease who newly developed nephrotic syndrome after SARS-CoV-2 vaccination with BNT162b2 (Pfizer-BioNTech). He developed eyelid edema 4 days after vaccination and peripheral edema of the lower extremities a further 4 days later. Twenty-one days after vaccination, 60 mg of oral daily prednisolone was started. He achieved complete remission in 12 days without complications such as hypertension or acute kidney injury. We clinicians should be aware of the possibility of nephrotic syndrome developing after SARS-CoV-2 vaccination, not only in adults, but also in children.","container-title":"CEN Case Reports","DOI":"10.1007/s13730-021-00656-0","ISSN":"2192-4449","issue":"2","journalAbbreviation":"CEN Case Rep","language":"en","page":"242-246","source":"Springer Link","title":"New-onset pediatric nephrotic syndrome following Pfizer-BioNTech SARS-CoV-2 vaccination: a case report and literature review","title-short":"New-onset pediatric nephrotic syndrome following Pfizer-BioNTech SARS-CoV-2 vaccination","volume":"11","author":[{"family":"Nakazawa","given":"Eriko"},{"family":"Uchimura","given":"Toru"},{"family":"Hirai","given":"Yuji"},{"family":"Togashi","given":"Hayato"},{"family":"Oyama","given":"Yoshitaka"},{"family":"Inaba","given":"Aya"},{"family":"Shiga","given":"Kentaro"},{"family":"Ito","given":"Shuichi"}],"issued":{"date-parts":[["2022",5,1]]}}}],"schema":"https://github.com/citation-style-language/schema/raw/master/csl-citation.json"} </w:instrText>
            </w:r>
            <w:r w:rsidRPr="002F58EA">
              <w:rPr>
                <w:rFonts w:cstheme="minorHAnsi"/>
                <w:sz w:val="24"/>
                <w:szCs w:val="24"/>
                <w:lang w:val="en-US"/>
              </w:rPr>
              <w:fldChar w:fldCharType="separate"/>
            </w:r>
            <w:r w:rsidRPr="00692E86">
              <w:rPr>
                <w:rFonts w:cstheme="minorHAnsi"/>
                <w:sz w:val="24"/>
                <w:szCs w:val="24"/>
                <w:lang w:val="en-US"/>
              </w:rPr>
              <w:t>[3,4]</w:t>
            </w:r>
            <w:r w:rsidRPr="002F58EA">
              <w:rPr>
                <w:rFonts w:cstheme="minorHAnsi"/>
                <w:sz w:val="24"/>
                <w:szCs w:val="24"/>
                <w:lang w:val="en-US"/>
              </w:rPr>
              <w:fldChar w:fldCharType="end"/>
            </w:r>
          </w:p>
        </w:tc>
        <w:tc>
          <w:tcPr>
            <w:tcW w:w="2410" w:type="dxa"/>
          </w:tcPr>
          <w:p w14:paraId="5A842379" w14:textId="77777777" w:rsidR="00CD4E4A" w:rsidRPr="002F58EA" w:rsidRDefault="00CD4E4A" w:rsidP="00692E86">
            <w:pPr>
              <w:ind w:left="1304" w:hanging="1304"/>
              <w:rPr>
                <w:rFonts w:cstheme="minorHAnsi"/>
                <w:sz w:val="24"/>
                <w:szCs w:val="24"/>
                <w:lang w:val="en-US"/>
              </w:rPr>
            </w:pPr>
            <w:r>
              <w:rPr>
                <w:rFonts w:cstheme="minorHAnsi"/>
                <w:sz w:val="24"/>
                <w:szCs w:val="24"/>
                <w:lang w:val="en-US"/>
              </w:rPr>
              <w:t>0</w:t>
            </w:r>
            <w:r w:rsidRPr="002F58EA">
              <w:rPr>
                <w:rFonts w:cstheme="minorHAnsi"/>
                <w:sz w:val="24"/>
                <w:szCs w:val="24"/>
                <w:lang w:val="en-US"/>
              </w:rPr>
              <w:t xml:space="preserve"> to 65+ years</w:t>
            </w:r>
          </w:p>
          <w:p w14:paraId="1A51C4DB" w14:textId="77777777" w:rsidR="00CD4E4A" w:rsidRPr="002F58EA" w:rsidRDefault="00CD4E4A" w:rsidP="00692E86">
            <w:pPr>
              <w:ind w:left="1304" w:hanging="1304"/>
              <w:rPr>
                <w:rFonts w:cstheme="minorHAnsi"/>
                <w:sz w:val="24"/>
                <w:szCs w:val="24"/>
                <w:lang w:val="en-US"/>
              </w:rPr>
            </w:pPr>
            <w:r w:rsidRPr="002F58EA">
              <w:rPr>
                <w:rFonts w:cstheme="minorHAnsi"/>
                <w:sz w:val="24"/>
                <w:szCs w:val="24"/>
                <w:lang w:val="en-US"/>
              </w:rPr>
              <w:t>11 to 78 years</w:t>
            </w:r>
          </w:p>
          <w:p w14:paraId="4DF9CE9D" w14:textId="77777777" w:rsidR="00CD4E4A" w:rsidRPr="002F58EA" w:rsidRDefault="00CD4E4A" w:rsidP="00692E86">
            <w:pPr>
              <w:ind w:left="1304" w:hanging="1304"/>
              <w:rPr>
                <w:rFonts w:cstheme="minorHAnsi"/>
                <w:sz w:val="24"/>
                <w:szCs w:val="24"/>
                <w:lang w:val="en-US"/>
              </w:rPr>
            </w:pPr>
            <w:r w:rsidRPr="002F58EA">
              <w:rPr>
                <w:rFonts w:cstheme="minorHAnsi"/>
                <w:sz w:val="24"/>
                <w:szCs w:val="24"/>
                <w:lang w:val="en-US"/>
              </w:rPr>
              <w:t>20 years and 15 years</w:t>
            </w:r>
          </w:p>
        </w:tc>
      </w:tr>
      <w:tr w:rsidR="00005088" w:rsidRPr="00CD4E4A" w14:paraId="7905C3DC" w14:textId="77777777" w:rsidTr="00A57452">
        <w:tc>
          <w:tcPr>
            <w:tcW w:w="988" w:type="dxa"/>
          </w:tcPr>
          <w:p w14:paraId="2DC44DEA" w14:textId="19D2840A" w:rsidR="00005088" w:rsidRPr="00FA48BA" w:rsidRDefault="00005088" w:rsidP="00005088">
            <w:pPr>
              <w:rPr>
                <w:rFonts w:cstheme="minorHAnsi"/>
                <w:sz w:val="24"/>
                <w:szCs w:val="24"/>
                <w:lang w:val="en-US"/>
              </w:rPr>
            </w:pPr>
            <w:r w:rsidRPr="002F58EA">
              <w:rPr>
                <w:rFonts w:eastAsia="Times New Roman" w:cstheme="minorHAnsi"/>
                <w:color w:val="242424"/>
                <w:kern w:val="0"/>
                <w:sz w:val="24"/>
                <w:szCs w:val="24"/>
                <w:lang w:val="en-US" w:eastAsia="da-DK"/>
                <w14:ligatures w14:val="none"/>
              </w:rPr>
              <w:t>14</w:t>
            </w:r>
          </w:p>
        </w:tc>
        <w:tc>
          <w:tcPr>
            <w:tcW w:w="2976" w:type="dxa"/>
          </w:tcPr>
          <w:p w14:paraId="5EEDE246" w14:textId="3C204142" w:rsidR="00005088" w:rsidRPr="00FA48BA" w:rsidRDefault="00005088" w:rsidP="00005088">
            <w:pPr>
              <w:rPr>
                <w:rFonts w:cstheme="minorHAnsi"/>
                <w:sz w:val="24"/>
                <w:szCs w:val="24"/>
                <w:lang w:val="en-US"/>
              </w:rPr>
            </w:pPr>
            <w:r w:rsidRPr="002F58EA">
              <w:rPr>
                <w:rFonts w:eastAsia="Times New Roman" w:cstheme="minorHAnsi"/>
                <w:color w:val="242424"/>
                <w:kern w:val="0"/>
                <w:sz w:val="24"/>
                <w:szCs w:val="24"/>
                <w:lang w:val="en-US" w:eastAsia="da-DK"/>
                <w14:ligatures w14:val="none"/>
              </w:rPr>
              <w:t>Behçet disease including panuveitis</w:t>
            </w:r>
          </w:p>
        </w:tc>
        <w:tc>
          <w:tcPr>
            <w:tcW w:w="2268" w:type="dxa"/>
          </w:tcPr>
          <w:p w14:paraId="670E7038" w14:textId="3C7461B6" w:rsidR="00005088" w:rsidRPr="002F58EA" w:rsidRDefault="00005088" w:rsidP="00005088">
            <w:pPr>
              <w:rPr>
                <w:rFonts w:cstheme="minorHAnsi"/>
                <w:sz w:val="24"/>
                <w:szCs w:val="24"/>
                <w:lang w:val="en-US"/>
              </w:rPr>
            </w:pPr>
            <w:r w:rsidRPr="002F58EA">
              <w:rPr>
                <w:rFonts w:cstheme="minorHAnsi"/>
                <w:sz w:val="24"/>
                <w:szCs w:val="24"/>
                <w:lang w:val="en-US"/>
              </w:rPr>
              <w:t>No</w:t>
            </w:r>
          </w:p>
        </w:tc>
        <w:tc>
          <w:tcPr>
            <w:tcW w:w="1843" w:type="dxa"/>
          </w:tcPr>
          <w:p w14:paraId="2FF3F78D" w14:textId="57D549B3" w:rsidR="00005088" w:rsidRDefault="00005088" w:rsidP="00005088">
            <w:pPr>
              <w:ind w:left="1304" w:hanging="1304"/>
              <w:rPr>
                <w:rFonts w:cstheme="minorHAnsi"/>
                <w:sz w:val="24"/>
                <w:szCs w:val="24"/>
                <w:lang w:val="en-US"/>
              </w:rPr>
            </w:pPr>
            <w:r>
              <w:rPr>
                <w:rFonts w:cstheme="minorHAnsi"/>
                <w:sz w:val="24"/>
                <w:szCs w:val="24"/>
                <w:lang w:val="en-US"/>
              </w:rPr>
              <w:t>No</w:t>
            </w:r>
          </w:p>
        </w:tc>
        <w:tc>
          <w:tcPr>
            <w:tcW w:w="3402" w:type="dxa"/>
          </w:tcPr>
          <w:p w14:paraId="3D6CA295" w14:textId="2C7935EA" w:rsidR="00005088" w:rsidRPr="002F58EA" w:rsidRDefault="00005088" w:rsidP="00005088">
            <w:pPr>
              <w:ind w:left="1304" w:hanging="1304"/>
              <w:rPr>
                <w:rFonts w:cstheme="minorHAnsi"/>
                <w:sz w:val="24"/>
                <w:szCs w:val="24"/>
                <w:lang w:val="en-US"/>
              </w:rPr>
            </w:pPr>
            <w:r w:rsidRPr="002F58EA">
              <w:rPr>
                <w:rFonts w:cstheme="minorHAnsi"/>
                <w:sz w:val="24"/>
                <w:szCs w:val="24"/>
                <w:lang w:val="en-US"/>
              </w:rPr>
              <w:t>Case report</w:t>
            </w:r>
            <w:r w:rsidRPr="002F58EA">
              <w:rPr>
                <w:rFonts w:cstheme="minorHAnsi"/>
                <w:sz w:val="24"/>
                <w:szCs w:val="24"/>
                <w:lang w:val="en-US"/>
              </w:rPr>
              <w:fldChar w:fldCharType="begin"/>
            </w:r>
            <w:r w:rsidRPr="002F58EA">
              <w:rPr>
                <w:rFonts w:cstheme="minorHAnsi"/>
                <w:sz w:val="24"/>
                <w:szCs w:val="24"/>
                <w:lang w:val="en-US"/>
              </w:rPr>
              <w:instrText xml:space="preserve"> ADDIN ZOTERO_ITEM CSL_CITATION {"citationID":"9Pv4sDCe","properties":{"formattedCitation":"[9]","plainCitation":"[9]","noteIndex":0},"citationItems":[{"id":809,"uris":["http://zotero.org/users/12610245/items/PXGKZS5Z"],"itemData":{"id":809,"type":"article-journal","abstract":"BACKGROUND: Behcet's disease (BD) is an inflammatory disorder known for various symptoms, including oral and genital ulcers and ocular inflammation. Panuveitis, a severe eye condition, is rare as the first sign of BD.\nCASE SUMMARY: We present an unusual case of a 30-year-old man who developed panuveitis after receiving the mRNA-based coronavirus disease 2019 (COVID-19) vaccine (Moderna). Laboratory tests ruled out infections, but he had a positive HLA-B51 result and a history of genital ulcer and oral ulcers, leading to a BD diagnosis. Treatment with corticosteroids improved his condition. Interestingly, he had another episode of panuveitis after the second mRNA vaccine dose, which also responded to corticosteroids.\nCONCLUSION: This case highlights the rare onset of BD following mRNA COVID-19 vaccination, suggesting a potential link between these vaccines and BD's eye symptoms, emphasizing the importance of quick treatment in similar cases.","container-title":"World Journal of Radiology","DOI":"10.4329/wjr.v16.i9.460","ISSN":"1949-8470","issue":"9","journalAbbreviation":"World J Radiol","language":"eng","note":"PMID: 39355389\nPMCID: PMC11440273","page":"460-465","source":"PubMed","title":"Behcet's disease-related panuveitis following COVID-19 vaccination: A case report","title-short":"Behcet's disease-related panuveitis following COVID-19 vaccination","volume":"16","author":[{"family":"Lin","given":"Rou-Ting"},{"family":"Liu","given":"Pei-Kang"},{"family":"Chang","given":"Chia-Wei"},{"family":"Cheng","given":"Kai-Chun"},{"family":"Chen","given":"Kuo-Jen"},{"family":"Chang","given":"Yo-Chen"}],"issued":{"date-parts":[["2024",9,28]]}}}],"schema":"https://github.com/citation-style-language/schema/raw/master/csl-citation.json"} </w:instrText>
            </w:r>
            <w:r w:rsidRPr="002F58EA">
              <w:rPr>
                <w:rFonts w:cstheme="minorHAnsi"/>
                <w:sz w:val="24"/>
                <w:szCs w:val="24"/>
                <w:lang w:val="en-US"/>
              </w:rPr>
              <w:fldChar w:fldCharType="separate"/>
            </w:r>
            <w:r w:rsidRPr="002F58EA">
              <w:rPr>
                <w:rFonts w:cstheme="minorHAnsi"/>
                <w:sz w:val="24"/>
                <w:szCs w:val="24"/>
              </w:rPr>
              <w:t>[9]</w:t>
            </w:r>
            <w:r w:rsidRPr="002F58EA">
              <w:rPr>
                <w:rFonts w:cstheme="minorHAnsi"/>
                <w:sz w:val="24"/>
                <w:szCs w:val="24"/>
                <w:lang w:val="en-US"/>
              </w:rPr>
              <w:fldChar w:fldCharType="end"/>
            </w:r>
          </w:p>
        </w:tc>
        <w:tc>
          <w:tcPr>
            <w:tcW w:w="2410" w:type="dxa"/>
          </w:tcPr>
          <w:p w14:paraId="0BA5F71D" w14:textId="41161C56" w:rsidR="00005088" w:rsidRDefault="00005088" w:rsidP="00005088">
            <w:pPr>
              <w:ind w:left="1304" w:hanging="1304"/>
              <w:rPr>
                <w:rFonts w:cstheme="minorHAnsi"/>
                <w:sz w:val="24"/>
                <w:szCs w:val="24"/>
                <w:lang w:val="en-US"/>
              </w:rPr>
            </w:pPr>
            <w:r w:rsidRPr="002F58EA">
              <w:rPr>
                <w:rFonts w:cstheme="minorHAnsi"/>
                <w:sz w:val="24"/>
                <w:szCs w:val="24"/>
                <w:lang w:val="en-US"/>
              </w:rPr>
              <w:t>30 years</w:t>
            </w:r>
          </w:p>
        </w:tc>
      </w:tr>
      <w:tr w:rsidR="00005088" w:rsidRPr="00CD4E4A" w14:paraId="1F82547B" w14:textId="77777777" w:rsidTr="00A57452">
        <w:tc>
          <w:tcPr>
            <w:tcW w:w="988" w:type="dxa"/>
          </w:tcPr>
          <w:p w14:paraId="479372AA" w14:textId="0849F047" w:rsidR="00005088" w:rsidRPr="002F58EA" w:rsidRDefault="00005088" w:rsidP="00005088">
            <w:pPr>
              <w:rPr>
                <w:rFonts w:cstheme="minorHAnsi"/>
                <w:sz w:val="24"/>
                <w:szCs w:val="24"/>
              </w:rPr>
            </w:pPr>
            <w:r w:rsidRPr="002F58EA">
              <w:rPr>
                <w:rFonts w:eastAsia="Times New Roman" w:cstheme="minorHAnsi"/>
                <w:color w:val="000000"/>
                <w:kern w:val="0"/>
                <w:sz w:val="24"/>
                <w:szCs w:val="24"/>
                <w:lang w:val="en-US" w:eastAsia="da-DK"/>
                <w14:ligatures w14:val="none"/>
              </w:rPr>
              <w:t>19</w:t>
            </w:r>
          </w:p>
        </w:tc>
        <w:tc>
          <w:tcPr>
            <w:tcW w:w="2976" w:type="dxa"/>
          </w:tcPr>
          <w:p w14:paraId="7EA2D07A" w14:textId="17938FE3" w:rsidR="00005088" w:rsidRPr="002F58EA" w:rsidRDefault="00005088" w:rsidP="00005088">
            <w:pPr>
              <w:rPr>
                <w:rFonts w:cstheme="minorHAnsi"/>
                <w:sz w:val="24"/>
                <w:szCs w:val="24"/>
              </w:rPr>
            </w:pPr>
            <w:r w:rsidRPr="002F58EA">
              <w:rPr>
                <w:rFonts w:eastAsia="Times New Roman" w:cstheme="minorHAnsi"/>
                <w:color w:val="000000"/>
                <w:kern w:val="0"/>
                <w:sz w:val="24"/>
                <w:szCs w:val="24"/>
                <w:lang w:val="en-US" w:eastAsia="da-DK"/>
                <w14:ligatures w14:val="none"/>
              </w:rPr>
              <w:t>Complex regional pain syndrome</w:t>
            </w:r>
          </w:p>
        </w:tc>
        <w:tc>
          <w:tcPr>
            <w:tcW w:w="2268" w:type="dxa"/>
          </w:tcPr>
          <w:p w14:paraId="4724C7AA" w14:textId="1303C4DE" w:rsidR="00005088" w:rsidRPr="002F58EA" w:rsidRDefault="00005088" w:rsidP="00005088">
            <w:pPr>
              <w:rPr>
                <w:rFonts w:cstheme="minorHAnsi"/>
                <w:sz w:val="24"/>
                <w:szCs w:val="24"/>
                <w:lang w:val="en-US"/>
              </w:rPr>
            </w:pPr>
            <w:r w:rsidRPr="002F58EA">
              <w:rPr>
                <w:rFonts w:cstheme="minorHAnsi"/>
                <w:sz w:val="24"/>
                <w:szCs w:val="24"/>
                <w:lang w:val="en-US"/>
              </w:rPr>
              <w:t>No</w:t>
            </w:r>
          </w:p>
        </w:tc>
        <w:tc>
          <w:tcPr>
            <w:tcW w:w="1843" w:type="dxa"/>
          </w:tcPr>
          <w:p w14:paraId="690C9B99" w14:textId="12A4447B" w:rsidR="00005088" w:rsidRDefault="00005088" w:rsidP="00005088">
            <w:pPr>
              <w:ind w:left="1304" w:hanging="1304"/>
              <w:rPr>
                <w:rFonts w:cstheme="minorHAnsi"/>
                <w:sz w:val="24"/>
                <w:szCs w:val="24"/>
                <w:lang w:val="en-US"/>
              </w:rPr>
            </w:pPr>
            <w:r>
              <w:rPr>
                <w:rFonts w:cstheme="minorHAnsi"/>
                <w:sz w:val="24"/>
                <w:szCs w:val="24"/>
                <w:lang w:val="en-US"/>
              </w:rPr>
              <w:t>No</w:t>
            </w:r>
          </w:p>
        </w:tc>
        <w:tc>
          <w:tcPr>
            <w:tcW w:w="3402" w:type="dxa"/>
          </w:tcPr>
          <w:p w14:paraId="23BA2A6E" w14:textId="42E3CF44" w:rsidR="00005088" w:rsidRPr="002F58EA" w:rsidRDefault="00005088" w:rsidP="00005088">
            <w:pPr>
              <w:ind w:left="1304" w:hanging="1304"/>
              <w:rPr>
                <w:rFonts w:cstheme="minorHAnsi"/>
                <w:sz w:val="24"/>
                <w:szCs w:val="24"/>
                <w:lang w:val="en-US"/>
              </w:rPr>
            </w:pPr>
            <w:r w:rsidRPr="002F58EA">
              <w:rPr>
                <w:rFonts w:cstheme="minorHAnsi"/>
                <w:sz w:val="24"/>
                <w:szCs w:val="24"/>
                <w:lang w:val="en-US"/>
              </w:rPr>
              <w:t xml:space="preserve">Case reports </w:t>
            </w:r>
            <w:r w:rsidRPr="002F58EA">
              <w:rPr>
                <w:rFonts w:cstheme="minorHAnsi"/>
                <w:sz w:val="24"/>
                <w:szCs w:val="24"/>
                <w:lang w:val="en-US"/>
              </w:rPr>
              <w:fldChar w:fldCharType="begin"/>
            </w:r>
            <w:r w:rsidRPr="002F58EA">
              <w:rPr>
                <w:rFonts w:cstheme="minorHAnsi"/>
                <w:sz w:val="24"/>
                <w:szCs w:val="24"/>
                <w:lang w:val="en-US"/>
              </w:rPr>
              <w:instrText xml:space="preserve"> ADDIN ZOTERO_ITEM CSL_CITATION {"citationID":"kZNP0oiH","properties":{"formattedCitation":"[10,11]","plainCitation":"[10,11]","noteIndex":0},"citationItems":[{"id":817,"uris":["http://zotero.org/users/12610245/items/D869BXDJ"],"itemData":{"id":817,"type":"article-journal","container-title":"Acta Dermato-Venereologica","DOI":"10.2340/actadv.v103.13400","ISSN":"0001-5555","journalAbbreviation":"Acta Derm Venereol","note":"PMID: 37955530\nPMCID: PMC10655122","page":"13400","source":"PubMed Central","title":"COVID-19 Vaccination-related Complex Regional Pain Syndrome Masquerading as Erythromelalgia: A Case Report","title-short":"COVID-19 Vaccination-related Complex Regional Pain Syndrome Masquerading as Erythromelalgia","volume":"103","author":[{"family":"LORENTZEN","given":"Kristian L."},{"family":"BYGUM","given":"Anette"}],"issued":{"date-parts":[["2023",11,13]]}}},{"id":820,"uris":["http://zotero.org/users/12610245/items/659T9FD5"],"itemData":{"id":820,"type":"article-journal","abstract":"We describe the case of a 17-year-old woman diagnosed with complex regional pain syndrome (CRPS) at a pain clinic after the second dose of the COVID-19 vaccine. She was referred to our department for surgical treatment of movement disorder seven months after the second inoculation. Baclofen (50 µg), administered intrathecally, improved the involuntary movements of her right hand. After administration of zolpidem (5 mg), involuntary movements of the right index finger almost disappeared. However, neither zolpidem nor intrathecal baclofen improved the limited range of motion of the first joint of the left-hand finger. Despite various reports on CRPS development after vaccination, only one case post COVID-19 vaccination has been reported. Therefore, healthcare providers should keep in mind that CRPS can appear after the COVID-19 vaccination.","container-title":"Clinical Neurology and Neurosurgery","DOI":"10.1016/j.clineuro.2022.107578","ISSN":"0303-8467","journalAbbreviation":"Clinical Neurology and Neurosurgery","page":"107578","source":"ScienceDirect","title":"Complex regional pain syndrome after mRNA-based COVID-19 vaccination","volume":"224","author":[{"family":"Horisawa","given":"Shiro"},{"family":"Ando","given":"Tamon"},{"family":"Kawamata","given":"Takakazu"},{"family":"Taira","given":"Takaomi"}],"issued":{"date-parts":[["2023",1,1]]}}}],"schema":"https://github.com/citation-style-language/schema/raw/master/csl-citation.json"} </w:instrText>
            </w:r>
            <w:r w:rsidRPr="002F58EA">
              <w:rPr>
                <w:rFonts w:cstheme="minorHAnsi"/>
                <w:sz w:val="24"/>
                <w:szCs w:val="24"/>
                <w:lang w:val="en-US"/>
              </w:rPr>
              <w:fldChar w:fldCharType="separate"/>
            </w:r>
            <w:r w:rsidRPr="002F58EA">
              <w:rPr>
                <w:rFonts w:cstheme="minorHAnsi"/>
                <w:sz w:val="24"/>
                <w:szCs w:val="24"/>
              </w:rPr>
              <w:t>[10,11]</w:t>
            </w:r>
            <w:r w:rsidRPr="002F58EA">
              <w:rPr>
                <w:rFonts w:cstheme="minorHAnsi"/>
                <w:sz w:val="24"/>
                <w:szCs w:val="24"/>
                <w:lang w:val="en-US"/>
              </w:rPr>
              <w:fldChar w:fldCharType="end"/>
            </w:r>
          </w:p>
        </w:tc>
        <w:tc>
          <w:tcPr>
            <w:tcW w:w="2410" w:type="dxa"/>
          </w:tcPr>
          <w:p w14:paraId="37FA7C61" w14:textId="38934077" w:rsidR="00005088" w:rsidRDefault="00005088" w:rsidP="00005088">
            <w:pPr>
              <w:ind w:left="1304" w:hanging="1304"/>
              <w:rPr>
                <w:rFonts w:cstheme="minorHAnsi"/>
                <w:sz w:val="24"/>
                <w:szCs w:val="24"/>
                <w:lang w:val="en-US"/>
              </w:rPr>
            </w:pPr>
            <w:r w:rsidRPr="002F58EA">
              <w:rPr>
                <w:rFonts w:cstheme="minorHAnsi"/>
                <w:sz w:val="24"/>
                <w:szCs w:val="24"/>
                <w:lang w:val="en-US"/>
              </w:rPr>
              <w:t>56 years and 17 years</w:t>
            </w:r>
          </w:p>
        </w:tc>
      </w:tr>
      <w:tr w:rsidR="00005088" w:rsidRPr="00631F0E" w14:paraId="3FA2F30A" w14:textId="77777777" w:rsidTr="00A57452">
        <w:tc>
          <w:tcPr>
            <w:tcW w:w="988" w:type="dxa"/>
          </w:tcPr>
          <w:p w14:paraId="6A9F31CD" w14:textId="09B5B069" w:rsidR="00005088" w:rsidRPr="002F58EA" w:rsidRDefault="00005088" w:rsidP="00005088">
            <w:pPr>
              <w:rPr>
                <w:rFonts w:eastAsia="Times New Roman" w:cstheme="minorHAnsi"/>
                <w:color w:val="000000"/>
                <w:kern w:val="0"/>
                <w:sz w:val="24"/>
                <w:szCs w:val="24"/>
                <w:lang w:val="en-US" w:eastAsia="da-DK"/>
                <w14:ligatures w14:val="none"/>
              </w:rPr>
            </w:pPr>
            <w:r w:rsidRPr="002F58EA">
              <w:rPr>
                <w:rFonts w:eastAsia="Times New Roman" w:cstheme="minorHAnsi"/>
                <w:color w:val="000000"/>
                <w:kern w:val="0"/>
                <w:sz w:val="24"/>
                <w:szCs w:val="24"/>
                <w:lang w:val="en-US" w:eastAsia="da-DK"/>
                <w14:ligatures w14:val="none"/>
              </w:rPr>
              <w:t>10</w:t>
            </w:r>
          </w:p>
        </w:tc>
        <w:tc>
          <w:tcPr>
            <w:tcW w:w="2976" w:type="dxa"/>
          </w:tcPr>
          <w:p w14:paraId="784672B7" w14:textId="1A3D550F" w:rsidR="00005088" w:rsidRPr="002F58EA" w:rsidRDefault="00005088" w:rsidP="00005088">
            <w:pPr>
              <w:rPr>
                <w:rFonts w:eastAsia="Times New Roman" w:cstheme="minorHAnsi"/>
                <w:color w:val="000000"/>
                <w:kern w:val="0"/>
                <w:sz w:val="24"/>
                <w:szCs w:val="24"/>
                <w:lang w:val="en-US" w:eastAsia="da-DK"/>
                <w14:ligatures w14:val="none"/>
              </w:rPr>
            </w:pPr>
            <w:r w:rsidRPr="002F58EA">
              <w:rPr>
                <w:rFonts w:eastAsia="Times New Roman" w:cstheme="minorHAnsi"/>
                <w:color w:val="000000"/>
                <w:kern w:val="0"/>
                <w:sz w:val="24"/>
                <w:szCs w:val="24"/>
                <w:lang w:val="en-US" w:eastAsia="da-DK"/>
                <w14:ligatures w14:val="none"/>
              </w:rPr>
              <w:t>Demyelinating disease of CNS</w:t>
            </w:r>
          </w:p>
        </w:tc>
        <w:tc>
          <w:tcPr>
            <w:tcW w:w="2268" w:type="dxa"/>
          </w:tcPr>
          <w:p w14:paraId="41ABD03D" w14:textId="3DF4DAAB" w:rsidR="00005088" w:rsidRPr="002F58EA" w:rsidRDefault="00005088" w:rsidP="00005088">
            <w:pPr>
              <w:rPr>
                <w:rFonts w:cstheme="minorHAnsi"/>
                <w:sz w:val="24"/>
                <w:szCs w:val="24"/>
                <w:lang w:val="en-US"/>
              </w:rPr>
            </w:pPr>
            <w:r w:rsidRPr="002F58EA">
              <w:rPr>
                <w:rFonts w:cstheme="minorHAnsi"/>
                <w:sz w:val="24"/>
                <w:szCs w:val="24"/>
                <w:lang w:val="en-US"/>
              </w:rPr>
              <w:t>No</w:t>
            </w:r>
          </w:p>
        </w:tc>
        <w:tc>
          <w:tcPr>
            <w:tcW w:w="1843" w:type="dxa"/>
          </w:tcPr>
          <w:p w14:paraId="77609471" w14:textId="7575B121" w:rsidR="00005088" w:rsidRDefault="00005088" w:rsidP="00005088">
            <w:pPr>
              <w:ind w:left="1304" w:hanging="1304"/>
              <w:rPr>
                <w:rFonts w:cstheme="minorHAnsi"/>
                <w:sz w:val="24"/>
                <w:szCs w:val="24"/>
                <w:lang w:val="en-US"/>
              </w:rPr>
            </w:pPr>
            <w:r>
              <w:rPr>
                <w:rFonts w:cstheme="minorHAnsi"/>
                <w:sz w:val="24"/>
                <w:szCs w:val="24"/>
                <w:lang w:val="en-US"/>
              </w:rPr>
              <w:t>Yes</w:t>
            </w:r>
          </w:p>
        </w:tc>
        <w:tc>
          <w:tcPr>
            <w:tcW w:w="3402" w:type="dxa"/>
          </w:tcPr>
          <w:p w14:paraId="3F19251E" w14:textId="1FD4F837" w:rsidR="00005088" w:rsidRPr="002F58EA" w:rsidRDefault="00005088" w:rsidP="00005088">
            <w:pPr>
              <w:rPr>
                <w:rFonts w:cstheme="minorHAnsi"/>
                <w:sz w:val="24"/>
                <w:szCs w:val="24"/>
                <w:lang w:val="en-US"/>
              </w:rPr>
            </w:pPr>
            <w:r w:rsidRPr="002F58EA">
              <w:rPr>
                <w:rFonts w:cstheme="minorHAnsi"/>
                <w:sz w:val="24"/>
                <w:szCs w:val="24"/>
                <w:lang w:val="en-US"/>
              </w:rPr>
              <w:t>Pharmacovigilance</w:t>
            </w:r>
            <w:r w:rsidRPr="002F58EA">
              <w:rPr>
                <w:rFonts w:cstheme="minorHAnsi"/>
                <w:sz w:val="24"/>
                <w:szCs w:val="24"/>
                <w:lang w:val="en-US"/>
              </w:rPr>
              <w:fldChar w:fldCharType="begin"/>
            </w:r>
            <w:r w:rsidRPr="002F58EA">
              <w:rPr>
                <w:rFonts w:cstheme="minorHAnsi"/>
                <w:sz w:val="24"/>
                <w:szCs w:val="24"/>
                <w:lang w:val="en-US"/>
              </w:rPr>
              <w:instrText xml:space="preserve"> ADDIN ZOTERO_ITEM CSL_CITATION {"citationID":"tDEDoAoB","properties":{"formattedCitation":"[5]","plainCitation":"[5]","noteIndex":0},"citationItems":[{"id":720,"uris":["http://zotero.org/users/12610245/items/UT4KCTEA"],"itemData":{"id":720,"type":"article-journal","abstract":"Background\nThe Global COVID Vaccine Safety (GCoVS) Project, established in 2021 under the multinational Global Vaccine Data Network™ (GVDN®), facilitates comprehensive assessment of vaccine safety. This study aimed to evaluate the risk of adverse events of special interest (AESI) following COVID-19 vaccination from 10 sites across eight countries.\nMethods\nUsing a common protocol, this observational cohort study compared observed with expected rates of 13 selected AESI across neurological, haematological, and cardiac outcomes. Expected rates were obtained by participating sites using pre-COVID-19 vaccination healthcare data stratified by age and sex. Observed rates were reported from the same healthcare datasets since COVID-19 vaccination program rollout. AESI occurring up to 42 days following vaccination with mRNA (BNT162b2 and mRNA-1273) and adenovirus-vector (ChAdOx1) vaccines were included in the primary analysis. Risks were assessed using observed versus expected (OE) ratios with 95 % confidence intervals. Prioritised potential safety signals were those with lower bound of the 95 % confidence interval (LBCI) greater than 1.5.\nResults\nParticipants included 99,068,901 vaccinated individuals. In total, 183,559,462 doses of BNT162b2, 36,178,442 doses of mRNA-1273, and 23,093,399 doses of ChAdOx1 were administered across participating sites in the study period. Risk periods following homologous vaccination schedules contributed 23,168,335 person-years of follow-up. OE ratios with LBCI &gt; 1.5 were observed for Guillain-Barré syndrome (2.49, 95 % CI: 2.15, 2.87) and cerebral venous sinus thrombosis (3.23, 95 % CI: 2.51, 4.09) following the first dose of ChAdOx1 vaccine. Acute disseminated encephalomyelitis showed an OE ratio of 3.78 (95 % CI: 1.52, 7.78) following the first dose of mRNA-1273 vaccine. The OE ratios for myocarditis and pericarditis following BNT162b2, mRNA-1273, and ChAdOx1 were significantly increased with LBCIs &gt; 1.5.\nConclusion\nThis multi-country analysis confirmed pre-established safety signals for myocarditis, pericarditis, Guillain-Barré syndrome, and cerebral venous sinus thrombosis. Other potential safety signals that require further investigation were identified.","container-title":"Vaccine","DOI":"10.1016/j.vaccine.2024.01.100","ISSN":"0264-410X","issue":"9","journalAbbreviation":"Vaccine","page":"2200-2211","source":"ScienceDirect","title":"COVID-19 vaccines and adverse events of special interest: A multinational Global Vaccine Data Network (GVDN) cohort study of 99 million vaccinated individuals","title-short":"COVID-19 vaccines and adverse events of special interest","volume":"42","author":[{"family":"Faksova","given":"K."},{"family":"Walsh","given":"D."},{"family":"Jiang","given":"Y."},{"family":"Griffin","given":"J."},{"family":"Phillips","given":"A."},{"family":"Gentile","given":"A."},{"family":"Kwong","given":"J. C."},{"family":"Macartney","given":"K."},{"family":"Naus","given":"M."},{"family":"Grange","given":"Z."},{"family":"Escolano","given":"S."},{"family":"Sepulveda","given":"G."},{"family":"Shetty","given":"A."},{"family":"Pillsbury","given":"A."},{"family":"Sullivan","given":"C."},{"family":"Naveed","given":"Z."},{"family":"Janjua","given":"N. Z."},{"family":"Giglio","given":"N."},{"family":"Perälä","given":"J."},{"family":"Nasreen","given":"S."},{"family":"Gidding","given":"H."},{"family":"Hovi","given":"P."},{"family":"Vo","given":"T."},{"family":"Cui","given":"F."},{"family":"Deng","given":"L."},{"family":"Cullen","given":"L."},{"family":"Artama","given":"M."},{"family":"Lu","given":"H."},{"family":"Clothier","given":"H. J."},{"family":"Batty","given":"K."},{"family":"Paynter","given":"J."},{"family":"Petousis-Harris","given":"H."},{"family":"Buttery","given":"J."},{"family":"Black","given":"S."},{"family":"Hviid","given":"A."}],"issued":{"date-parts":[["2024",4,2]]}}}],"schema":"https://github.com/citation-style-language/schema/raw/master/csl-citation.json"} </w:instrText>
            </w:r>
            <w:r w:rsidRPr="002F58EA">
              <w:rPr>
                <w:rFonts w:cstheme="minorHAnsi"/>
                <w:sz w:val="24"/>
                <w:szCs w:val="24"/>
                <w:lang w:val="en-US"/>
              </w:rPr>
              <w:fldChar w:fldCharType="separate"/>
            </w:r>
            <w:r w:rsidRPr="002F58EA">
              <w:rPr>
                <w:rFonts w:cstheme="minorHAnsi"/>
                <w:sz w:val="24"/>
                <w:szCs w:val="24"/>
                <w:lang w:val="en-US"/>
              </w:rPr>
              <w:t>[5]</w:t>
            </w:r>
            <w:r w:rsidRPr="002F58EA">
              <w:rPr>
                <w:rFonts w:cstheme="minorHAnsi"/>
                <w:sz w:val="24"/>
                <w:szCs w:val="24"/>
                <w:lang w:val="en-US"/>
              </w:rPr>
              <w:fldChar w:fldCharType="end"/>
            </w:r>
            <w:r w:rsidR="00234B0D" w:rsidRPr="00FA48BA">
              <w:rPr>
                <w:vertAlign w:val="superscript"/>
                <w:lang w:val="en-US"/>
              </w:rPr>
              <w:t>#</w:t>
            </w:r>
          </w:p>
          <w:p w14:paraId="42B1B98E" w14:textId="77777777" w:rsidR="00005088" w:rsidRDefault="00005088" w:rsidP="00005088">
            <w:pPr>
              <w:rPr>
                <w:rFonts w:cstheme="minorHAnsi"/>
                <w:sz w:val="24"/>
                <w:szCs w:val="24"/>
                <w:lang w:val="en-US"/>
              </w:rPr>
            </w:pPr>
            <w:r w:rsidRPr="002F58EA">
              <w:rPr>
                <w:rFonts w:cstheme="minorHAnsi"/>
                <w:sz w:val="24"/>
                <w:szCs w:val="24"/>
                <w:lang w:val="en-US"/>
              </w:rPr>
              <w:t>Systematic review of cases</w:t>
            </w:r>
            <w:r>
              <w:rPr>
                <w:rFonts w:cstheme="minorHAnsi"/>
                <w:sz w:val="24"/>
                <w:szCs w:val="24"/>
                <w:lang w:val="en-US"/>
              </w:rPr>
              <w:fldChar w:fldCharType="begin"/>
            </w:r>
            <w:r>
              <w:rPr>
                <w:rFonts w:cstheme="minorHAnsi"/>
                <w:sz w:val="24"/>
                <w:szCs w:val="24"/>
                <w:lang w:val="en-US"/>
              </w:rPr>
              <w:instrText xml:space="preserve"> ADDIN ZOTERO_ITEM CSL_CITATION {"citationID":"a1alir013gh","properties":{"formattedCitation":"[13]","plainCitation":"[13]","noteIndex":0},"citationItems":[{"id":902,"uris":["http://zotero.org/users/12610245/items/3WPGQ56H"],"itemData":{"id":902,"type":"article-journal","abstract":"Background\nIn December 2019, the World Health Organization declared COVID-19 a pandemic; an unprecedented health crisis has rocked the world. Enormous efforts by governments, the pharmaceutical industry, and health professionals, including a new mRNA vaccine technology against SARS-CoV-2, have been massively employed to control the COVID-19 pandemic. The vaccine's primary mechanism is based on S glycoprotein, the leading viral surface antigen, which induces protective neutralizing antibodies.\nCase presentation\nThis project aims to present two cases of demyelinating syndromes in previously asymptomatic patients. The triggering factor in both cases was vaccination against COVID-19 with mRNA vaccines.\nCase Report\nThe first case is a young female, 25 years old, previously asymptomatic, one week after the ChAdOx1 Vaccine developed right hemiparesis. Brain MRI and MRI of the spinal cord demonstrated multiple hyperintense lesions, acute and chronic. The second case is an 8-year-old Caucasian male; 12 days after the double dose of the Pfizer-BioNTech vaccine, the patient complained of bilateral visual blurring. The patient was pulsed with methylprednisolone one g/day/5 days with complete recovery.\nConclusion\nRarely can vaccines trigger multiple sclerosis or optic neuritis. This report demonstrated two demyelinating syndromes triggered by the m-RNA COVID-19 vaccine.","container-title":"Neuroimmunology Reports","DOI":"10.1016/j.nerep.2023.100198","ISSN":"2667-257X","journalAbbreviation":"Neuroimmunology Reports","page":"100198","source":"ScienceDirect","title":"Multiple sclerosis and optic neuritis triggered by COVID-19 mRNA","volume":"5","author":[{"family":"Moretti","given":"Giovanna Thais Torques"},{"family":"Fabiani","given":"Giorgio"},{"family":"Ferreira","given":"Georgette Mouchaileh Evangelista"},{"family":"Araujo","given":"Jessica Pizatto","non-dropping-particle":"de"},{"family":"Hummelgen","given":"Eduardo"}],"issued":{"date-parts":[["2024",1,1]]}}}],"schema":"https://github.com/citation-style-language/schema/raw/master/csl-citation.json"} </w:instrText>
            </w:r>
            <w:r>
              <w:rPr>
                <w:rFonts w:cstheme="minorHAnsi"/>
                <w:sz w:val="24"/>
                <w:szCs w:val="24"/>
                <w:lang w:val="en-US"/>
              </w:rPr>
              <w:fldChar w:fldCharType="separate"/>
            </w:r>
            <w:r w:rsidRPr="00FF7703">
              <w:rPr>
                <w:rFonts w:ascii="Calibri" w:hAnsi="Calibri" w:cs="Calibri"/>
                <w:kern w:val="0"/>
                <w:sz w:val="24"/>
                <w:lang w:val="en-US"/>
              </w:rPr>
              <w:t>[13]</w:t>
            </w:r>
            <w:r>
              <w:rPr>
                <w:rFonts w:cstheme="minorHAnsi"/>
                <w:sz w:val="24"/>
                <w:szCs w:val="24"/>
                <w:lang w:val="en-US"/>
              </w:rPr>
              <w:fldChar w:fldCharType="end"/>
            </w:r>
          </w:p>
          <w:p w14:paraId="4F2B9C8D" w14:textId="37284544" w:rsidR="00005088" w:rsidRPr="002F58EA" w:rsidRDefault="00005088" w:rsidP="00005088">
            <w:pPr>
              <w:ind w:left="1304" w:hanging="1304"/>
              <w:rPr>
                <w:rFonts w:cstheme="minorHAnsi"/>
                <w:sz w:val="24"/>
                <w:szCs w:val="24"/>
                <w:lang w:val="en-US"/>
              </w:rPr>
            </w:pPr>
            <w:r>
              <w:rPr>
                <w:rFonts w:cstheme="minorHAnsi"/>
                <w:sz w:val="24"/>
                <w:szCs w:val="24"/>
                <w:lang w:val="en-US"/>
              </w:rPr>
              <w:t>Case series</w:t>
            </w:r>
            <w:r>
              <w:rPr>
                <w:rFonts w:cstheme="minorHAnsi"/>
                <w:sz w:val="24"/>
                <w:szCs w:val="24"/>
                <w:lang w:val="en-US"/>
              </w:rPr>
              <w:fldChar w:fldCharType="begin"/>
            </w:r>
            <w:r>
              <w:rPr>
                <w:rFonts w:cstheme="minorHAnsi"/>
                <w:sz w:val="24"/>
                <w:szCs w:val="24"/>
                <w:lang w:val="en-US"/>
              </w:rPr>
              <w:instrText xml:space="preserve"> ADDIN ZOTERO_ITEM CSL_CITATION {"citationID":"a18ln1dljn0","properties":{"formattedCitation":"[14]","plainCitation":"[14]","noteIndex":0},"citationItems":[{"id":813,"uris":["http://zotero.org/users/12610245/items/X4H6G25Q"],"itemData":{"id":813,"type":"article-journal","abstract":"Background\nSince the emergency use approval of different types of COVID-19 vaccines, several safety concerns have been raised regarding its early and delayed impact on the nervous system.\n\nObjective\nThis study aims to systematically review the reported cases of CNS demyelination in association with COVID-19 vaccination, which has not been performed, to our knowledge.\n\nMethods\nA systematic review was performed by screening published articles and preprints of cases of CNS demyelination in association with COVID-19 vaccines in PubMed, SCOPUS, EMBASE, Google Scholar, Ovid and medRxiv databases, until September 30, 2021. This study followed PRISMA guidelines. Descriptive findings of reported cases were reviewed and stratified by demographic and clinical findings, diagnostic work-up, management, and overall outcome.\n\nResults\nA total of 32 cases were identified, with female predominance (68.8%) and median age of 44 years. Eleven cases were reported after Pfizer vaccine, 8 following AstraZeneca vaccine, 6 following Moderna, 5 following Sinovac/ Sinopharm vaccines, and one following each of Sputnik and Johnson&amp;Johnson vaccines. The majority of cases (71.8%) occurred after the first dose of the vaccine, with neurological symptoms manifesting after a median of 9 days. The most common reported presentations were transverse myelitis (12/32) and MS-like pictures (first diagnosis or a relapse) in another 12/32 cases, followed by ADEM- like (5/32), and NMOSD- like (3/32) presentations. History of a previous immune-mediated disease was reported in 17/32 (53.1%) cases. The mRNA-based vaccines resulted in the greatest number of demyelinating syndromes (17/32), followed by viral vector vaccines (10/32), and inactivated vaccines (5/32). Most MS-like episodes (9/12) were triggered by mRNA-based vaccines, while TM occurred following both viral vector and mRNA-based vaccines. Management included high dose methylprednisolone, PLEX, IVIg, or a combination of those, with a favorable outcome in the majority of case; marked/complete improvement (25/32) or stabilized/ partial recovery in the remaining cases.\n\nConclusion\nThis systematic review identified few cases of CNS demyelination following all types of approved COVID-19 vaccines so far. Clinical presentation was heterogenous, mainly following the first dose, however, half of the reported cases had a history of immune-mediated disease. Favorable outcome was observed in most cases. We suggest long-term post-marketing surveillance for these cases, to assess for causality, and ensure the safety of COVID-19 vaccines.","container-title":"Journal of Neuroimmunology","DOI":"10.1016/j.jneuroim.2021.577765","ISSN":"0165-5728","journalAbbreviation":"J Neuroimmunol","note":"PMID: 34839149\nPMCID: PMC8577051","page":"577765","source":"PubMed Central","title":"A systematic review of cases of CNS demyelination following COVID-19 vaccination","volume":"362","author":[{"family":"Ismail","given":"Ismail Ibrahim"},{"family":"Salama","given":"Sara"}],"issued":{"date-parts":[["2022",1,15]]}}}],"schema":"https://github.com/citation-style-language/schema/raw/master/csl-citation.json"} </w:instrText>
            </w:r>
            <w:r>
              <w:rPr>
                <w:rFonts w:cstheme="minorHAnsi"/>
                <w:sz w:val="24"/>
                <w:szCs w:val="24"/>
                <w:lang w:val="en-US"/>
              </w:rPr>
              <w:fldChar w:fldCharType="separate"/>
            </w:r>
            <w:r w:rsidRPr="002A6B67">
              <w:rPr>
                <w:rFonts w:ascii="Calibri" w:hAnsi="Calibri" w:cs="Calibri"/>
                <w:kern w:val="0"/>
                <w:sz w:val="24"/>
                <w:lang w:val="en-US"/>
              </w:rPr>
              <w:t>[14]</w:t>
            </w:r>
            <w:r>
              <w:rPr>
                <w:rFonts w:cstheme="minorHAnsi"/>
                <w:sz w:val="24"/>
                <w:szCs w:val="24"/>
                <w:lang w:val="en-US"/>
              </w:rPr>
              <w:fldChar w:fldCharType="end"/>
            </w:r>
          </w:p>
        </w:tc>
        <w:tc>
          <w:tcPr>
            <w:tcW w:w="2410" w:type="dxa"/>
          </w:tcPr>
          <w:p w14:paraId="1EF622E3" w14:textId="53AA8715" w:rsidR="00005088" w:rsidRPr="002F58EA" w:rsidRDefault="00005088" w:rsidP="00005088">
            <w:pPr>
              <w:rPr>
                <w:rFonts w:cstheme="minorHAnsi"/>
                <w:sz w:val="24"/>
                <w:szCs w:val="24"/>
                <w:lang w:val="en-US"/>
              </w:rPr>
            </w:pPr>
            <w:r w:rsidRPr="002F58EA">
              <w:rPr>
                <w:rFonts w:cstheme="minorHAnsi"/>
                <w:sz w:val="24"/>
                <w:szCs w:val="24"/>
                <w:lang w:val="en-US"/>
              </w:rPr>
              <w:t>0 to 80+ years</w:t>
            </w:r>
          </w:p>
          <w:p w14:paraId="63A5287E" w14:textId="77777777" w:rsidR="00005088" w:rsidRPr="002F58EA" w:rsidRDefault="00005088" w:rsidP="00005088">
            <w:pPr>
              <w:rPr>
                <w:rFonts w:cstheme="minorHAnsi"/>
                <w:sz w:val="24"/>
                <w:szCs w:val="24"/>
                <w:lang w:val="en-US"/>
              </w:rPr>
            </w:pPr>
            <w:r w:rsidRPr="002F58EA">
              <w:rPr>
                <w:rFonts w:cstheme="minorHAnsi"/>
                <w:sz w:val="24"/>
                <w:szCs w:val="24"/>
                <w:lang w:val="en-US"/>
              </w:rPr>
              <w:t>28 to 76 years</w:t>
            </w:r>
          </w:p>
          <w:p w14:paraId="57219D78" w14:textId="520F554B" w:rsidR="00005088" w:rsidRPr="002F58EA" w:rsidRDefault="00005088" w:rsidP="00005088">
            <w:pPr>
              <w:ind w:left="1304" w:hanging="1304"/>
              <w:rPr>
                <w:rFonts w:cstheme="minorHAnsi"/>
                <w:sz w:val="24"/>
                <w:szCs w:val="24"/>
                <w:lang w:val="en-US"/>
              </w:rPr>
            </w:pPr>
            <w:r w:rsidRPr="002F58EA">
              <w:rPr>
                <w:rFonts w:cstheme="minorHAnsi"/>
                <w:sz w:val="24"/>
                <w:szCs w:val="24"/>
                <w:lang w:val="en-US"/>
              </w:rPr>
              <w:t>19 to 75 years</w:t>
            </w:r>
          </w:p>
        </w:tc>
      </w:tr>
      <w:tr w:rsidR="00005088" w:rsidRPr="00CD4E4A" w14:paraId="7A495F5E" w14:textId="77777777" w:rsidTr="00A57452">
        <w:tc>
          <w:tcPr>
            <w:tcW w:w="988" w:type="dxa"/>
          </w:tcPr>
          <w:p w14:paraId="1561967F" w14:textId="1F9D6222" w:rsidR="00005088" w:rsidRPr="002F58EA" w:rsidRDefault="00005088" w:rsidP="00005088">
            <w:pPr>
              <w:rPr>
                <w:rFonts w:eastAsia="Times New Roman" w:cstheme="minorHAnsi"/>
                <w:color w:val="000000"/>
                <w:kern w:val="0"/>
                <w:sz w:val="24"/>
                <w:szCs w:val="24"/>
                <w:lang w:val="en-US" w:eastAsia="da-DK"/>
                <w14:ligatures w14:val="none"/>
              </w:rPr>
            </w:pPr>
            <w:r w:rsidRPr="002F58EA">
              <w:rPr>
                <w:rFonts w:eastAsia="Times New Roman" w:cstheme="minorHAnsi"/>
                <w:color w:val="242424"/>
                <w:kern w:val="0"/>
                <w:sz w:val="24"/>
                <w:szCs w:val="24"/>
                <w:lang w:val="en-US" w:eastAsia="da-DK"/>
                <w14:ligatures w14:val="none"/>
              </w:rPr>
              <w:t>15</w:t>
            </w:r>
          </w:p>
        </w:tc>
        <w:tc>
          <w:tcPr>
            <w:tcW w:w="2976" w:type="dxa"/>
          </w:tcPr>
          <w:p w14:paraId="5BD74D9E" w14:textId="73CA7C01" w:rsidR="00005088" w:rsidRPr="002F58EA" w:rsidRDefault="00005088" w:rsidP="00005088">
            <w:pPr>
              <w:rPr>
                <w:rFonts w:eastAsia="Times New Roman" w:cstheme="minorHAnsi"/>
                <w:color w:val="000000"/>
                <w:kern w:val="0"/>
                <w:sz w:val="24"/>
                <w:szCs w:val="24"/>
                <w:lang w:val="en-US" w:eastAsia="da-DK"/>
                <w14:ligatures w14:val="none"/>
              </w:rPr>
            </w:pPr>
            <w:r w:rsidRPr="002F58EA">
              <w:rPr>
                <w:rFonts w:eastAsia="Times New Roman" w:cstheme="minorHAnsi"/>
                <w:color w:val="242424"/>
                <w:kern w:val="0"/>
                <w:sz w:val="24"/>
                <w:szCs w:val="24"/>
                <w:lang w:val="en-US" w:eastAsia="da-DK"/>
                <w14:ligatures w14:val="none"/>
              </w:rPr>
              <w:t>Diabetes Mellitus type 1</w:t>
            </w:r>
          </w:p>
        </w:tc>
        <w:tc>
          <w:tcPr>
            <w:tcW w:w="2268" w:type="dxa"/>
          </w:tcPr>
          <w:p w14:paraId="6DC98B2D" w14:textId="3A042168" w:rsidR="00005088" w:rsidRPr="002F58EA" w:rsidRDefault="00005088" w:rsidP="00005088">
            <w:pPr>
              <w:rPr>
                <w:rFonts w:cstheme="minorHAnsi"/>
                <w:sz w:val="24"/>
                <w:szCs w:val="24"/>
                <w:lang w:val="en-US"/>
              </w:rPr>
            </w:pPr>
            <w:r w:rsidRPr="002F58EA">
              <w:rPr>
                <w:rFonts w:cstheme="minorHAnsi"/>
                <w:sz w:val="24"/>
                <w:szCs w:val="24"/>
                <w:lang w:val="en-US"/>
              </w:rPr>
              <w:t>Y</w:t>
            </w:r>
            <w:r>
              <w:rPr>
                <w:rFonts w:cstheme="minorHAnsi"/>
                <w:sz w:val="24"/>
                <w:szCs w:val="24"/>
                <w:lang w:val="en-US"/>
              </w:rPr>
              <w:t>es</w:t>
            </w:r>
          </w:p>
        </w:tc>
        <w:tc>
          <w:tcPr>
            <w:tcW w:w="1843" w:type="dxa"/>
          </w:tcPr>
          <w:p w14:paraId="67ED22F3" w14:textId="4B82741D" w:rsidR="00005088" w:rsidRDefault="00005088" w:rsidP="00005088">
            <w:pPr>
              <w:ind w:left="1304" w:hanging="1304"/>
              <w:rPr>
                <w:rFonts w:cstheme="minorHAnsi"/>
                <w:sz w:val="24"/>
                <w:szCs w:val="24"/>
                <w:lang w:val="en-US"/>
              </w:rPr>
            </w:pPr>
            <w:r>
              <w:rPr>
                <w:rFonts w:cstheme="minorHAnsi"/>
                <w:sz w:val="24"/>
                <w:szCs w:val="24"/>
                <w:lang w:val="en-US"/>
              </w:rPr>
              <w:t>No</w:t>
            </w:r>
          </w:p>
        </w:tc>
        <w:tc>
          <w:tcPr>
            <w:tcW w:w="3402" w:type="dxa"/>
          </w:tcPr>
          <w:p w14:paraId="0F62A9CF" w14:textId="66AD5480" w:rsidR="00005088" w:rsidRPr="002F58EA" w:rsidRDefault="00005088" w:rsidP="00005088">
            <w:pPr>
              <w:ind w:left="1304" w:hanging="1304"/>
              <w:rPr>
                <w:rFonts w:cstheme="minorHAnsi"/>
                <w:sz w:val="24"/>
                <w:szCs w:val="24"/>
                <w:lang w:val="en-US"/>
              </w:rPr>
            </w:pPr>
            <w:r w:rsidRPr="002F58EA">
              <w:rPr>
                <w:rFonts w:cstheme="minorHAnsi"/>
                <w:sz w:val="24"/>
                <w:szCs w:val="24"/>
                <w:lang w:val="en-US"/>
              </w:rPr>
              <w:t>Systematic reviews of</w:t>
            </w:r>
            <w:r>
              <w:rPr>
                <w:rFonts w:cstheme="minorHAnsi"/>
                <w:sz w:val="24"/>
                <w:szCs w:val="24"/>
                <w:lang w:val="en-US"/>
              </w:rPr>
              <w:t xml:space="preserve"> </w:t>
            </w:r>
            <w:r w:rsidRPr="002F58EA">
              <w:rPr>
                <w:rFonts w:cstheme="minorHAnsi"/>
                <w:sz w:val="24"/>
                <w:szCs w:val="24"/>
                <w:lang w:val="en-US"/>
              </w:rPr>
              <w:t>cases</w:t>
            </w:r>
            <w:r w:rsidRPr="002F58EA">
              <w:rPr>
                <w:rFonts w:cstheme="minorHAnsi"/>
                <w:sz w:val="24"/>
                <w:szCs w:val="24"/>
                <w:lang w:val="en-US"/>
              </w:rPr>
              <w:fldChar w:fldCharType="begin"/>
            </w:r>
            <w:r w:rsidRPr="002F58EA">
              <w:rPr>
                <w:rFonts w:cstheme="minorHAnsi"/>
                <w:sz w:val="24"/>
                <w:szCs w:val="24"/>
                <w:lang w:val="en-US"/>
              </w:rPr>
              <w:instrText xml:space="preserve"> ADDIN ZOTERO_ITEM CSL_CITATION {"citationID":"fZfGenKt","properties":{"formattedCitation":"[12]","plainCitation":"[12]","noteIndex":0},"citationItems":[{"id":811,"uris":["http://zotero.org/users/12610245/items/3QE4CEUH"],"itemData":{"id":811,"type":"article-journal","abstract":"Background/Objective\nMultiple cases of postvaccination immune-related adverse events have been reported. We, hereby, present a patient who presented with new-onset type 1 diabetes mellitus (DM) after COVID-19 messenger RNA (mRNA) vaccination.\nCase Report\nA 38-year-old Caucasian man presented with sudden onset of polyuria, polydipsia, and blurry vision for 1 month. The patient received the second dose of the COVID-19 mRNA vaccine (Pfizer-BioNTech) 4 weeks prior to symptom onset. Initial workup revealed glucosuria and hemoglobin A1c of 9.4%. Antibodies against multiple pancreatic beta cell autoantigens were detected. The patient was then initiated on insulin.\nDiscussion\nHypothesized mechanisms for development of type 1 DM after COVID-19 mRNA vaccination include molecular mimicry, autoimmune/inflammatory syndrome induced by adjuvants, and possible interaction between the angiotensin-I converting enzyme-2 receptor on beta cells and viral mRNA. An initial high index of suspicion should be accompanied by early autoantibody testing and initiation of insulin, if indicated. Finally, if diagnosed with type 1 diabetes, patients must have long-term follow-up as there may be brief periods where glycemic control is maintained off insulin.\nConclusion\nNew-onset type 1 DM has been reported after COVID mRNA vaccination. Clinicians should maintain a high index of suspicion and pursue early testing for the same to reduce adverse outcomes and improve long-term prognosis.","container-title":"AACE Clinical Case Reports","DOI":"10.1016/j.aace.2024.06.001","ISSN":"2376-0605","issue":"5","journalAbbreviation":"AACE Clinical Case Reports","page":"179-183","source":"ScienceDirect","title":"Type 1 Diabetes Mellitus Caused by COVID-19 mRNA Vaccination: A Case Report and Literature Review of 17 Published Cases","title-short":"Type 1 Diabetes Mellitus Caused by COVID-19 mRNA Vaccination","volume":"10","author":[{"family":"Bhatia","given":"Unnati"},{"family":"Aggarwal","given":"Nishant"},{"family":"Barjuca","given":"Rachel"},{"family":"Halalau","given":"Alexandra"}],"issued":{"date-parts":[["2024",9,1]]}}}],"schema":"https://github.com/citation-style-language/schema/raw/master/csl-citation.json"} </w:instrText>
            </w:r>
            <w:r w:rsidRPr="002F58EA">
              <w:rPr>
                <w:rFonts w:cstheme="minorHAnsi"/>
                <w:sz w:val="24"/>
                <w:szCs w:val="24"/>
                <w:lang w:val="en-US"/>
              </w:rPr>
              <w:fldChar w:fldCharType="separate"/>
            </w:r>
            <w:r w:rsidRPr="002F58EA">
              <w:rPr>
                <w:rFonts w:cstheme="minorHAnsi"/>
                <w:sz w:val="24"/>
                <w:szCs w:val="24"/>
                <w:lang w:val="en-US"/>
              </w:rPr>
              <w:t>[12]</w:t>
            </w:r>
            <w:r w:rsidRPr="002F58EA">
              <w:rPr>
                <w:rFonts w:cstheme="minorHAnsi"/>
                <w:sz w:val="24"/>
                <w:szCs w:val="24"/>
                <w:lang w:val="en-US"/>
              </w:rPr>
              <w:fldChar w:fldCharType="end"/>
            </w:r>
          </w:p>
        </w:tc>
        <w:tc>
          <w:tcPr>
            <w:tcW w:w="2410" w:type="dxa"/>
          </w:tcPr>
          <w:p w14:paraId="57192265" w14:textId="228F95C8" w:rsidR="00005088" w:rsidRPr="002F58EA" w:rsidRDefault="00005088" w:rsidP="00005088">
            <w:pPr>
              <w:ind w:left="1304" w:hanging="1304"/>
              <w:rPr>
                <w:rFonts w:cstheme="minorHAnsi"/>
                <w:sz w:val="24"/>
                <w:szCs w:val="24"/>
                <w:lang w:val="en-US"/>
              </w:rPr>
            </w:pPr>
            <w:r w:rsidRPr="002F58EA">
              <w:rPr>
                <w:rFonts w:cstheme="minorHAnsi"/>
                <w:sz w:val="24"/>
                <w:szCs w:val="24"/>
                <w:lang w:val="en-US"/>
              </w:rPr>
              <w:t>27 to 73 years</w:t>
            </w:r>
          </w:p>
        </w:tc>
      </w:tr>
      <w:tr w:rsidR="00186F22" w:rsidRPr="00234B0D" w14:paraId="7A0FE945" w14:textId="77777777" w:rsidTr="00A57452">
        <w:tc>
          <w:tcPr>
            <w:tcW w:w="988" w:type="dxa"/>
          </w:tcPr>
          <w:p w14:paraId="2EAC7993" w14:textId="168D464D" w:rsidR="00186F22" w:rsidRPr="002F58EA" w:rsidRDefault="00186F22" w:rsidP="00186F22">
            <w:pPr>
              <w:rPr>
                <w:rFonts w:eastAsia="Times New Roman" w:cstheme="minorHAnsi"/>
                <w:color w:val="242424"/>
                <w:kern w:val="0"/>
                <w:sz w:val="24"/>
                <w:szCs w:val="24"/>
                <w:lang w:val="en-US" w:eastAsia="da-DK"/>
                <w14:ligatures w14:val="none"/>
              </w:rPr>
            </w:pPr>
            <w:r w:rsidRPr="002F58EA">
              <w:rPr>
                <w:rFonts w:eastAsia="Times New Roman" w:cstheme="minorHAnsi"/>
                <w:color w:val="000000"/>
                <w:kern w:val="0"/>
                <w:sz w:val="24"/>
                <w:szCs w:val="24"/>
                <w:lang w:val="en-US" w:eastAsia="da-DK"/>
                <w14:ligatures w14:val="none"/>
              </w:rPr>
              <w:t>21</w:t>
            </w:r>
          </w:p>
        </w:tc>
        <w:tc>
          <w:tcPr>
            <w:tcW w:w="2976" w:type="dxa"/>
          </w:tcPr>
          <w:p w14:paraId="29C0C7EF" w14:textId="734A83CF" w:rsidR="00186F22" w:rsidRPr="002F58EA" w:rsidRDefault="00186F22" w:rsidP="00186F22">
            <w:pPr>
              <w:rPr>
                <w:rFonts w:eastAsia="Times New Roman" w:cstheme="minorHAnsi"/>
                <w:color w:val="242424"/>
                <w:kern w:val="0"/>
                <w:sz w:val="24"/>
                <w:szCs w:val="24"/>
                <w:lang w:val="en-US" w:eastAsia="da-DK"/>
                <w14:ligatures w14:val="none"/>
              </w:rPr>
            </w:pPr>
            <w:r w:rsidRPr="002F58EA">
              <w:rPr>
                <w:rFonts w:eastAsia="Times New Roman" w:cstheme="minorHAnsi"/>
                <w:color w:val="000000"/>
                <w:kern w:val="0"/>
                <w:sz w:val="24"/>
                <w:szCs w:val="24"/>
                <w:lang w:val="en-US" w:eastAsia="da-DK"/>
                <w14:ligatures w14:val="none"/>
              </w:rPr>
              <w:t>Embolism and thrombosis of arteries of lower extremities</w:t>
            </w:r>
          </w:p>
        </w:tc>
        <w:tc>
          <w:tcPr>
            <w:tcW w:w="2268" w:type="dxa"/>
          </w:tcPr>
          <w:p w14:paraId="63C2D2E5" w14:textId="4688D87A" w:rsidR="00186F22" w:rsidRPr="002F58EA" w:rsidRDefault="00186F22" w:rsidP="00186F22">
            <w:pPr>
              <w:rPr>
                <w:rFonts w:cstheme="minorHAnsi"/>
                <w:sz w:val="24"/>
                <w:szCs w:val="24"/>
                <w:lang w:val="en-US"/>
              </w:rPr>
            </w:pPr>
            <w:r w:rsidRPr="002F58EA">
              <w:rPr>
                <w:rFonts w:cstheme="minorHAnsi"/>
                <w:sz w:val="24"/>
                <w:szCs w:val="24"/>
                <w:lang w:val="en-US"/>
              </w:rPr>
              <w:t>No</w:t>
            </w:r>
          </w:p>
        </w:tc>
        <w:tc>
          <w:tcPr>
            <w:tcW w:w="1843" w:type="dxa"/>
          </w:tcPr>
          <w:p w14:paraId="44218870" w14:textId="0AE59957" w:rsidR="00186F22" w:rsidRDefault="00186F22" w:rsidP="00186F22">
            <w:pPr>
              <w:ind w:left="1304" w:hanging="1304"/>
              <w:rPr>
                <w:rFonts w:cstheme="minorHAnsi"/>
                <w:sz w:val="24"/>
                <w:szCs w:val="24"/>
                <w:lang w:val="en-US"/>
              </w:rPr>
            </w:pPr>
            <w:r>
              <w:rPr>
                <w:rFonts w:cstheme="minorHAnsi"/>
                <w:sz w:val="24"/>
                <w:szCs w:val="24"/>
                <w:lang w:val="en-US"/>
              </w:rPr>
              <w:t>No</w:t>
            </w:r>
          </w:p>
        </w:tc>
        <w:tc>
          <w:tcPr>
            <w:tcW w:w="3402" w:type="dxa"/>
          </w:tcPr>
          <w:p w14:paraId="557C0415" w14:textId="22AA48FD" w:rsidR="00186F22" w:rsidRPr="002F58EA" w:rsidRDefault="002D65A5" w:rsidP="00186F22">
            <w:pPr>
              <w:ind w:left="1304" w:hanging="1304"/>
              <w:rPr>
                <w:rFonts w:cstheme="minorHAnsi"/>
                <w:sz w:val="24"/>
                <w:szCs w:val="24"/>
                <w:lang w:val="en-US"/>
              </w:rPr>
            </w:pPr>
            <w:r>
              <w:rPr>
                <w:rFonts w:cstheme="minorHAnsi"/>
                <w:sz w:val="24"/>
                <w:szCs w:val="24"/>
                <w:lang w:val="en-US"/>
              </w:rPr>
              <w:t>None found for mRNA vaccines</w:t>
            </w:r>
          </w:p>
        </w:tc>
        <w:tc>
          <w:tcPr>
            <w:tcW w:w="2410" w:type="dxa"/>
          </w:tcPr>
          <w:p w14:paraId="11B579D7" w14:textId="27C0EBF7" w:rsidR="00186F22" w:rsidRPr="002F58EA" w:rsidRDefault="002D65A5" w:rsidP="00186F22">
            <w:pPr>
              <w:ind w:left="1304" w:hanging="1304"/>
              <w:rPr>
                <w:rFonts w:cstheme="minorHAnsi"/>
                <w:sz w:val="24"/>
                <w:szCs w:val="24"/>
                <w:lang w:val="en-US"/>
              </w:rPr>
            </w:pPr>
            <w:r>
              <w:rPr>
                <w:rFonts w:cstheme="minorHAnsi"/>
                <w:sz w:val="24"/>
                <w:szCs w:val="24"/>
                <w:lang w:val="en-US"/>
              </w:rPr>
              <w:t>-</w:t>
            </w:r>
          </w:p>
        </w:tc>
      </w:tr>
      <w:tr w:rsidR="00F06A67" w:rsidRPr="002F58EA" w14:paraId="60F71E43" w14:textId="77777777" w:rsidTr="00E5078C">
        <w:tc>
          <w:tcPr>
            <w:tcW w:w="988" w:type="dxa"/>
          </w:tcPr>
          <w:p w14:paraId="3A629664" w14:textId="77777777" w:rsidR="00CD4E4A" w:rsidRPr="002F58EA" w:rsidRDefault="00CD4E4A" w:rsidP="00692E86">
            <w:pPr>
              <w:rPr>
                <w:rFonts w:eastAsia="Times New Roman" w:cstheme="minorHAnsi"/>
                <w:color w:val="000000"/>
                <w:kern w:val="0"/>
                <w:sz w:val="24"/>
                <w:szCs w:val="24"/>
                <w:lang w:val="en-US" w:eastAsia="da-DK"/>
                <w14:ligatures w14:val="none"/>
              </w:rPr>
            </w:pPr>
            <w:r w:rsidRPr="002F58EA">
              <w:rPr>
                <w:rFonts w:eastAsia="Times New Roman" w:cstheme="minorHAnsi"/>
                <w:color w:val="000000"/>
                <w:kern w:val="0"/>
                <w:sz w:val="24"/>
                <w:szCs w:val="24"/>
                <w:lang w:val="en-US" w:eastAsia="da-DK"/>
                <w14:ligatures w14:val="none"/>
              </w:rPr>
              <w:t>13</w:t>
            </w:r>
          </w:p>
        </w:tc>
        <w:tc>
          <w:tcPr>
            <w:tcW w:w="2976" w:type="dxa"/>
          </w:tcPr>
          <w:p w14:paraId="73304F98" w14:textId="77777777" w:rsidR="00CD4E4A" w:rsidRPr="002F58EA" w:rsidRDefault="00CD4E4A" w:rsidP="00692E86">
            <w:pPr>
              <w:rPr>
                <w:rFonts w:cstheme="minorHAnsi"/>
                <w:b/>
                <w:bCs/>
                <w:sz w:val="24"/>
                <w:szCs w:val="24"/>
                <w:vertAlign w:val="superscript"/>
                <w:lang w:val="en-US"/>
              </w:rPr>
            </w:pPr>
            <w:r w:rsidRPr="002F58EA">
              <w:rPr>
                <w:rFonts w:eastAsia="Times New Roman" w:cstheme="minorHAnsi"/>
                <w:color w:val="000000"/>
                <w:kern w:val="0"/>
                <w:sz w:val="24"/>
                <w:szCs w:val="24"/>
                <w:lang w:val="en-US" w:eastAsia="da-DK"/>
                <w14:ligatures w14:val="none"/>
              </w:rPr>
              <w:t>Encephalitis, myelitis, and encephalomyelitis</w:t>
            </w:r>
          </w:p>
        </w:tc>
        <w:tc>
          <w:tcPr>
            <w:tcW w:w="2268" w:type="dxa"/>
          </w:tcPr>
          <w:p w14:paraId="1F6A6F2F" w14:textId="1E901F4B" w:rsidR="00CD4E4A" w:rsidRPr="002F58EA" w:rsidRDefault="00CD4E4A" w:rsidP="00692E86">
            <w:pPr>
              <w:rPr>
                <w:rFonts w:cstheme="minorHAnsi"/>
                <w:sz w:val="24"/>
                <w:szCs w:val="24"/>
                <w:lang w:val="en-US"/>
              </w:rPr>
            </w:pPr>
            <w:r w:rsidRPr="002F58EA">
              <w:rPr>
                <w:rFonts w:cstheme="minorHAnsi"/>
                <w:sz w:val="24"/>
                <w:szCs w:val="24"/>
                <w:lang w:val="en-US"/>
              </w:rPr>
              <w:t>No</w:t>
            </w:r>
          </w:p>
        </w:tc>
        <w:tc>
          <w:tcPr>
            <w:tcW w:w="1843" w:type="dxa"/>
          </w:tcPr>
          <w:p w14:paraId="587D1F02" w14:textId="5EBED3F1" w:rsidR="00CD4E4A" w:rsidRPr="002F58EA" w:rsidRDefault="00093281" w:rsidP="00692E86">
            <w:pPr>
              <w:rPr>
                <w:rFonts w:cstheme="minorHAnsi"/>
                <w:sz w:val="24"/>
                <w:szCs w:val="24"/>
                <w:lang w:val="en-US"/>
              </w:rPr>
            </w:pPr>
            <w:r>
              <w:rPr>
                <w:rFonts w:cstheme="minorHAnsi"/>
                <w:sz w:val="24"/>
                <w:szCs w:val="24"/>
                <w:lang w:val="en-US"/>
              </w:rPr>
              <w:t>Yes</w:t>
            </w:r>
          </w:p>
        </w:tc>
        <w:tc>
          <w:tcPr>
            <w:tcW w:w="3402" w:type="dxa"/>
          </w:tcPr>
          <w:p w14:paraId="51382661" w14:textId="42AF41D3" w:rsidR="00CD4E4A" w:rsidRPr="002F58EA" w:rsidRDefault="00CD4E4A" w:rsidP="00692E86">
            <w:pPr>
              <w:rPr>
                <w:rFonts w:cstheme="minorHAnsi"/>
                <w:sz w:val="24"/>
                <w:szCs w:val="24"/>
                <w:lang w:val="en-US"/>
              </w:rPr>
            </w:pPr>
            <w:r w:rsidRPr="002F58EA">
              <w:rPr>
                <w:rFonts w:cstheme="minorHAnsi"/>
                <w:sz w:val="24"/>
                <w:szCs w:val="24"/>
                <w:lang w:val="en-US"/>
              </w:rPr>
              <w:t>Pharmacovigilance</w:t>
            </w:r>
            <w:r w:rsidRPr="002F58EA">
              <w:rPr>
                <w:rFonts w:cstheme="minorHAnsi"/>
                <w:sz w:val="24"/>
                <w:szCs w:val="24"/>
                <w:lang w:val="en-US"/>
              </w:rPr>
              <w:fldChar w:fldCharType="begin"/>
            </w:r>
            <w:r w:rsidRPr="002F58EA">
              <w:rPr>
                <w:rFonts w:cstheme="minorHAnsi"/>
                <w:sz w:val="24"/>
                <w:szCs w:val="24"/>
                <w:lang w:val="en-US"/>
              </w:rPr>
              <w:instrText xml:space="preserve"> ADDIN ZOTERO_ITEM CSL_CITATION {"citationID":"o4Ic60Ix","properties":{"formattedCitation":"[5]","plainCitation":"[5]","noteIndex":0},"citationItems":[{"id":720,"uris":["http://zotero.org/users/12610245/items/UT4KCTEA"],"itemData":{"id":720,"type":"article-journal","abstract":"Background\nThe Global COVID Vaccine Safety (GCoVS) Project, established in 2021 under the multinational Global Vaccine Data Network™ (GVDN®), facilitates comprehensive assessment of vaccine safety. This study aimed to evaluate the risk of adverse events of special interest (AESI) following COVID-19 vaccination from 10 sites across eight countries.\nMethods\nUsing a common protocol, this observational cohort study compared observed with expected rates of 13 selected AESI across neurological, haematological, and cardiac outcomes. Expected rates were obtained by participating sites using pre-COVID-19 vaccination healthcare data stratified by age and sex. Observed rates were reported from the same healthcare datasets since COVID-19 vaccination program rollout. AESI occurring up to 42 days following vaccination with mRNA (BNT162b2 and mRNA-1273) and adenovirus-vector (ChAdOx1) vaccines were included in the primary analysis. Risks were assessed using observed versus expected (OE) ratios with 95 % confidence intervals. Prioritised potential safety signals were those with lower bound of the 95 % confidence interval (LBCI) greater than 1.5.\nResults\nParticipants included 99,068,901 vaccinated individuals. In total, 183,559,462 doses of BNT162b2, 36,178,442 doses of mRNA-1273, and 23,093,399 doses of ChAdOx1 were administered across participating sites in the study period. Risk periods following homologous vaccination schedules contributed 23,168,335 person-years of follow-up. OE ratios with LBCI &gt; 1.5 were observed for Guillain-Barré syndrome (2.49, 95 % CI: 2.15, 2.87) and cerebral venous sinus thrombosis (3.23, 95 % CI: 2.51, 4.09) following the first dose of ChAdOx1 vaccine. Acute disseminated encephalomyelitis showed an OE ratio of 3.78 (95 % CI: 1.52, 7.78) following the first dose of mRNA-1273 vaccine. The OE ratios for myocarditis and pericarditis following BNT162b2, mRNA-1273, and ChAdOx1 were significantly increased with LBCIs &gt; 1.5.\nConclusion\nThis multi-country analysis confirmed pre-established safety signals for myocarditis, pericarditis, Guillain-Barré syndrome, and cerebral venous sinus thrombosis. Other potential safety signals that require further investigation were identified.","container-title":"Vaccine","DOI":"10.1016/j.vaccine.2024.01.100","ISSN":"0264-410X","issue":"9","journalAbbreviation":"Vaccine","page":"2200-2211","source":"ScienceDirect","title":"COVID-19 vaccines and adverse events of special interest: A multinational Global Vaccine Data Network (GVDN) cohort study of 99 million vaccinated individuals","title-short":"COVID-19 vaccines and adverse events of special interest","volume":"42","author":[{"family":"Faksova","given":"K."},{"family":"Walsh","given":"D."},{"family":"Jiang","given":"Y."},{"family":"Griffin","given":"J."},{"family":"Phillips","given":"A."},{"family":"Gentile","given":"A."},{"family":"Kwong","given":"J. C."},{"family":"Macartney","given":"K."},{"family":"Naus","given":"M."},{"family":"Grange","given":"Z."},{"family":"Escolano","given":"S."},{"family":"Sepulveda","given":"G."},{"family":"Shetty","given":"A."},{"family":"Pillsbury","given":"A."},{"family":"Sullivan","given":"C."},{"family":"Naveed","given":"Z."},{"family":"Janjua","given":"N. Z."},{"family":"Giglio","given":"N."},{"family":"Perälä","given":"J."},{"family":"Nasreen","given":"S."},{"family":"Gidding","given":"H."},{"family":"Hovi","given":"P."},{"family":"Vo","given":"T."},{"family":"Cui","given":"F."},{"family":"Deng","given":"L."},{"family":"Cullen","given":"L."},{"family":"Artama","given":"M."},{"family":"Lu","given":"H."},{"family":"Clothier","given":"H. J."},{"family":"Batty","given":"K."},{"family":"Paynter","given":"J."},{"family":"Petousis-Harris","given":"H."},{"family":"Buttery","given":"J."},{"family":"Black","given":"S."},{"family":"Hviid","given":"A."}],"issued":{"date-parts":[["2024",4,2]]}}}],"schema":"https://github.com/citation-style-language/schema/raw/master/csl-citation.json"} </w:instrText>
            </w:r>
            <w:r w:rsidRPr="002F58EA">
              <w:rPr>
                <w:rFonts w:cstheme="minorHAnsi"/>
                <w:sz w:val="24"/>
                <w:szCs w:val="24"/>
                <w:lang w:val="en-US"/>
              </w:rPr>
              <w:fldChar w:fldCharType="separate"/>
            </w:r>
            <w:r w:rsidRPr="002F58EA">
              <w:rPr>
                <w:rFonts w:cstheme="minorHAnsi"/>
                <w:sz w:val="24"/>
                <w:szCs w:val="24"/>
                <w:lang w:val="en-US"/>
              </w:rPr>
              <w:t>[5]</w:t>
            </w:r>
            <w:r w:rsidRPr="002F58EA">
              <w:rPr>
                <w:rFonts w:cstheme="minorHAnsi"/>
                <w:sz w:val="24"/>
                <w:szCs w:val="24"/>
                <w:lang w:val="en-US"/>
              </w:rPr>
              <w:fldChar w:fldCharType="end"/>
            </w:r>
          </w:p>
          <w:p w14:paraId="72253BF0" w14:textId="77777777" w:rsidR="00CD4E4A" w:rsidRPr="002F58EA" w:rsidRDefault="00CD4E4A" w:rsidP="00692E86">
            <w:pPr>
              <w:rPr>
                <w:rFonts w:cstheme="minorHAnsi"/>
                <w:sz w:val="24"/>
                <w:szCs w:val="24"/>
                <w:lang w:val="en-US"/>
              </w:rPr>
            </w:pPr>
            <w:r w:rsidRPr="002F58EA">
              <w:rPr>
                <w:rFonts w:cstheme="minorHAnsi"/>
                <w:sz w:val="24"/>
                <w:szCs w:val="24"/>
                <w:lang w:val="en-US"/>
              </w:rPr>
              <w:t>Systematic reviews of cases</w:t>
            </w:r>
            <w:r w:rsidRPr="002F58EA">
              <w:rPr>
                <w:rFonts w:cstheme="minorHAnsi"/>
                <w:sz w:val="24"/>
                <w:szCs w:val="24"/>
                <w:lang w:val="en-US"/>
              </w:rPr>
              <w:fldChar w:fldCharType="begin"/>
            </w:r>
            <w:r w:rsidRPr="002F58EA">
              <w:rPr>
                <w:rFonts w:cstheme="minorHAnsi"/>
                <w:sz w:val="24"/>
                <w:szCs w:val="24"/>
                <w:lang w:val="en-US"/>
              </w:rPr>
              <w:instrText xml:space="preserve"> ADDIN ZOTERO_ITEM CSL_CITATION {"citationID":"Yf05iOqR","properties":{"formattedCitation":"[8]","plainCitation":"[8]","noteIndex":0},"citationItems":[{"id":803,"uris":["http://zotero.org/users/12610245/items/VCHPT5KE"],"itemData":{"id":803,"type":"article-journal","abstract":"Background: Since the advent of global COVID-19 vaccination, several studies reported cases of encephalitis with its various subtypes following COVID-19 vaccinations. In this regard, we conducted a systematic review to investigate and characterize the clinical settings of these reported cases to aid in physician awareness and proper care provision. Methods: We systematically searched PubMed, Web of Science, and Scopus and manually searched Google Scholar. Studies published until October 2022 were included. Demographic data, clinical features, vaccine data, treatment lines, and outcomes were extracted. Results: A total of 65 patients from 52 studies were included. The mean age of patients was 46.82 ± 19.25 years, 36 cases (55.4%) were males. AstraZeneca was the most-reported vaccine associated with encephalitis (38.5%) followed by Pfizer (33.8%), Moderna (16.9%), and others. Moat encephalitis cases occurred after the first dose of vaccination in 41/65 (66.1%). The mean time between vaccination and symptom onset was 9.97 ± 7.16 days. Corticosteroids (86.2 %) and immunosuppressants (81.5 %) were the most used lines of treatment. The majority of affected individuals experienced a full recovery. Conclusion: Our study summarizes the current evidence of reported post-vaccination encephalitis, regarding clinical presentation, symptoms onset, management, outcomes, and comorbid conditions; however, it fails to either acknowledge the incidence of occurrence or establish a causal relationship between various COVID-19 vaccines and encephalitis.","container-title":"Vaccines","DOI":"10.3390/vaccines11030576","ISSN":"2076-393X","issue":"3","journalAbbreviation":"Vaccines (Basel)","note":"PMID: 36992160\nPMCID: PMC10054808","page":"576","source":"PubMed Central","title":"Encephalitis following COVID-19 Vaccination: A Systematic Review","title-short":"Encephalitis following COVID-19 Vaccination","volume":"11","author":[{"family":"Abdelhady","given":"Mariam"},{"family":"Husain","given":"Muhammad Ashraf"},{"family":"Hawas","given":"Yousef"},{"family":"Elazb","given":"Mahmoud Abdelsalam"},{"family":"Mansour","given":"Lena Said"},{"family":"Mohamed","given":"Mohamed"},{"family":"Abdelwahab","given":"Maya Magdy"},{"family":"Aljabali","given":"Ahmed"},{"family":"Negida","given":"Ahmed"}],"issued":{"date-parts":[["2023",3,2]]}}}],"schema":"https://github.com/citation-style-language/schema/raw/master/csl-citation.json"} </w:instrText>
            </w:r>
            <w:r w:rsidRPr="002F58EA">
              <w:rPr>
                <w:rFonts w:cstheme="minorHAnsi"/>
                <w:sz w:val="24"/>
                <w:szCs w:val="24"/>
                <w:lang w:val="en-US"/>
              </w:rPr>
              <w:fldChar w:fldCharType="separate"/>
            </w:r>
            <w:r w:rsidRPr="002F58EA">
              <w:rPr>
                <w:rFonts w:cstheme="minorHAnsi"/>
                <w:sz w:val="24"/>
                <w:szCs w:val="24"/>
                <w:lang w:val="en-US"/>
              </w:rPr>
              <w:t>[8]</w:t>
            </w:r>
            <w:r w:rsidRPr="002F58EA">
              <w:rPr>
                <w:rFonts w:cstheme="minorHAnsi"/>
                <w:sz w:val="24"/>
                <w:szCs w:val="24"/>
                <w:lang w:val="en-US"/>
              </w:rPr>
              <w:fldChar w:fldCharType="end"/>
            </w:r>
          </w:p>
        </w:tc>
        <w:tc>
          <w:tcPr>
            <w:tcW w:w="2410" w:type="dxa"/>
          </w:tcPr>
          <w:p w14:paraId="19796B30" w14:textId="2071C322" w:rsidR="00CD4E4A" w:rsidRPr="002F58EA" w:rsidRDefault="00CD4E4A" w:rsidP="00692E86">
            <w:pPr>
              <w:rPr>
                <w:rFonts w:cstheme="minorHAnsi"/>
                <w:sz w:val="24"/>
                <w:szCs w:val="24"/>
                <w:lang w:val="en-US"/>
              </w:rPr>
            </w:pPr>
            <w:r w:rsidRPr="002F58EA">
              <w:rPr>
                <w:rFonts w:cstheme="minorHAnsi"/>
                <w:sz w:val="24"/>
                <w:szCs w:val="24"/>
                <w:lang w:val="en-US"/>
              </w:rPr>
              <w:t>0 to 80+ years</w:t>
            </w:r>
          </w:p>
          <w:p w14:paraId="6211D3CC" w14:textId="77777777" w:rsidR="00CD4E4A" w:rsidRPr="002F58EA" w:rsidRDefault="00CD4E4A" w:rsidP="00692E86">
            <w:pPr>
              <w:rPr>
                <w:rFonts w:cstheme="minorHAnsi"/>
                <w:sz w:val="24"/>
                <w:szCs w:val="24"/>
                <w:lang w:val="en-US"/>
              </w:rPr>
            </w:pPr>
            <w:r w:rsidRPr="002F58EA">
              <w:rPr>
                <w:rFonts w:cstheme="minorHAnsi"/>
                <w:sz w:val="24"/>
                <w:szCs w:val="24"/>
                <w:lang w:val="en-US"/>
              </w:rPr>
              <w:t>14 to 82 years</w:t>
            </w:r>
          </w:p>
        </w:tc>
      </w:tr>
      <w:tr w:rsidR="00F06A67" w:rsidRPr="002F58EA" w14:paraId="52A40579" w14:textId="77777777" w:rsidTr="00E5078C">
        <w:tc>
          <w:tcPr>
            <w:tcW w:w="988" w:type="dxa"/>
          </w:tcPr>
          <w:p w14:paraId="63156F3E" w14:textId="77777777" w:rsidR="00CD4E4A" w:rsidRPr="002F58EA" w:rsidRDefault="00CD4E4A" w:rsidP="00692E86">
            <w:pPr>
              <w:rPr>
                <w:rFonts w:eastAsia="Times New Roman" w:cstheme="minorHAnsi"/>
                <w:color w:val="242424"/>
                <w:kern w:val="0"/>
                <w:sz w:val="24"/>
                <w:szCs w:val="24"/>
                <w:lang w:val="en-US" w:eastAsia="da-DK"/>
                <w14:ligatures w14:val="none"/>
              </w:rPr>
            </w:pPr>
            <w:r w:rsidRPr="002F58EA">
              <w:rPr>
                <w:rFonts w:eastAsia="Times New Roman" w:cstheme="minorHAnsi"/>
                <w:color w:val="242424"/>
                <w:kern w:val="0"/>
                <w:sz w:val="24"/>
                <w:szCs w:val="24"/>
                <w:lang w:val="en-US" w:eastAsia="da-DK"/>
                <w14:ligatures w14:val="none"/>
              </w:rPr>
              <w:t>16</w:t>
            </w:r>
          </w:p>
        </w:tc>
        <w:tc>
          <w:tcPr>
            <w:tcW w:w="2976" w:type="dxa"/>
          </w:tcPr>
          <w:p w14:paraId="485993C3" w14:textId="77777777" w:rsidR="00CD4E4A" w:rsidRPr="002F58EA" w:rsidRDefault="00CD4E4A" w:rsidP="00692E86">
            <w:pPr>
              <w:rPr>
                <w:rFonts w:eastAsia="Times New Roman" w:cstheme="minorHAnsi"/>
                <w:color w:val="242424"/>
                <w:kern w:val="0"/>
                <w:sz w:val="24"/>
                <w:szCs w:val="24"/>
                <w:lang w:val="en-US" w:eastAsia="da-DK"/>
                <w14:ligatures w14:val="none"/>
              </w:rPr>
            </w:pPr>
            <w:r w:rsidRPr="002F58EA">
              <w:rPr>
                <w:rFonts w:eastAsia="Times New Roman" w:cstheme="minorHAnsi"/>
                <w:color w:val="242424"/>
                <w:kern w:val="0"/>
                <w:sz w:val="24"/>
                <w:szCs w:val="24"/>
                <w:lang w:val="en-US" w:eastAsia="da-DK"/>
                <w14:ligatures w14:val="none"/>
              </w:rPr>
              <w:t>Multiple sclerosis</w:t>
            </w:r>
          </w:p>
        </w:tc>
        <w:tc>
          <w:tcPr>
            <w:tcW w:w="2268" w:type="dxa"/>
          </w:tcPr>
          <w:p w14:paraId="2F866B72" w14:textId="38A427B8" w:rsidR="00CD4E4A" w:rsidRPr="002F58EA" w:rsidRDefault="00CD4E4A" w:rsidP="00692E86">
            <w:pPr>
              <w:rPr>
                <w:rFonts w:cstheme="minorHAnsi"/>
                <w:sz w:val="24"/>
                <w:szCs w:val="24"/>
                <w:lang w:val="en-US"/>
              </w:rPr>
            </w:pPr>
            <w:r w:rsidRPr="002F58EA">
              <w:rPr>
                <w:rFonts w:cstheme="minorHAnsi"/>
                <w:sz w:val="24"/>
                <w:szCs w:val="24"/>
                <w:lang w:val="en-US"/>
              </w:rPr>
              <w:t>No</w:t>
            </w:r>
          </w:p>
        </w:tc>
        <w:tc>
          <w:tcPr>
            <w:tcW w:w="1843" w:type="dxa"/>
          </w:tcPr>
          <w:p w14:paraId="0096F210" w14:textId="19E60559" w:rsidR="00CD4E4A" w:rsidRPr="002F58EA" w:rsidRDefault="00093281" w:rsidP="00692E86">
            <w:pPr>
              <w:rPr>
                <w:rFonts w:cstheme="minorHAnsi"/>
                <w:sz w:val="24"/>
                <w:szCs w:val="24"/>
                <w:lang w:val="en-US"/>
              </w:rPr>
            </w:pPr>
            <w:r>
              <w:rPr>
                <w:rFonts w:cstheme="minorHAnsi"/>
                <w:sz w:val="24"/>
                <w:szCs w:val="24"/>
                <w:lang w:val="en-US"/>
              </w:rPr>
              <w:t>No</w:t>
            </w:r>
          </w:p>
        </w:tc>
        <w:tc>
          <w:tcPr>
            <w:tcW w:w="3402" w:type="dxa"/>
          </w:tcPr>
          <w:p w14:paraId="52D4B274" w14:textId="6E52FBE8" w:rsidR="00CD4E4A" w:rsidRPr="002F58EA" w:rsidRDefault="00CD4E4A" w:rsidP="00692E86">
            <w:pPr>
              <w:rPr>
                <w:rFonts w:cstheme="minorHAnsi"/>
                <w:sz w:val="24"/>
                <w:szCs w:val="24"/>
                <w:lang w:val="en-US"/>
              </w:rPr>
            </w:pPr>
            <w:r w:rsidRPr="002F58EA">
              <w:rPr>
                <w:rFonts w:cstheme="minorHAnsi"/>
                <w:sz w:val="24"/>
                <w:szCs w:val="24"/>
                <w:lang w:val="en-US"/>
              </w:rPr>
              <w:t>Case report</w:t>
            </w:r>
            <w:r w:rsidRPr="002F58EA">
              <w:rPr>
                <w:rFonts w:cstheme="minorHAnsi"/>
                <w:sz w:val="24"/>
                <w:szCs w:val="24"/>
                <w:lang w:val="en-US"/>
              </w:rPr>
              <w:fldChar w:fldCharType="begin"/>
            </w:r>
            <w:r>
              <w:rPr>
                <w:rFonts w:cstheme="minorHAnsi"/>
                <w:sz w:val="24"/>
                <w:szCs w:val="24"/>
                <w:lang w:val="en-US"/>
              </w:rPr>
              <w:instrText xml:space="preserve"> ADDIN ZOTERO_ITEM CSL_CITATION {"citationID":"8eXQP3RV","properties":{"formattedCitation":"[13]","plainCitation":"[13]","noteIndex":0},"citationItems":[{"id":902,"uris":["http://zotero.org/users/12610245/items/3WPGQ56H"],"itemData":{"id":902,"type":"article-journal","abstract":"Background\nIn December 2019, the World Health Organization declared COVID-19 a pandemic; an unprecedented health crisis has rocked the world. Enormous efforts by governments, the pharmaceutical industry, and health professionals, including a new mRNA vaccine technology against SARS-CoV-2, have been massively employed to control the COVID-19 pandemic. The vaccine's primary mechanism is based on S glycoprotein, the leading viral surface antigen, which induces protective neutralizing antibodies.\nCase presentation\nThis project aims to present two cases of demyelinating syndromes in previously asymptomatic patients. The triggering factor in both cases was vaccination against COVID-19 with mRNA vaccines.\nCase Report\nThe first case is a young female, 25 years old, previously asymptomatic, one week after the ChAdOx1 Vaccine developed right hemiparesis. Brain MRI and MRI of the spinal cord demonstrated multiple hyperintense lesions, acute and chronic. The second case is an 8-year-old Caucasian male; 12 days after the double dose of the Pfizer-BioNTech vaccine, the patient complained of bilateral visual blurring. The patient was pulsed with methylprednisolone one g/day/5 days with complete recovery.\nConclusion\nRarely can vaccines trigger multiple sclerosis or optic neuritis. This report demonstrated two demyelinating syndromes triggered by the m-RNA COVID-19 vaccine.","container-title":"Neuroimmunology Reports","DOI":"10.1016/j.nerep.2023.100198","ISSN":"2667-257X","journalAbbreviation":"Neuroimmunology Reports","page":"100198","source":"ScienceDirect","title":"Multiple sclerosis and optic neuritis triggered by COVID-19 mRNA","volume":"5","author":[{"family":"Moretti","given":"Giovanna Thais Torques"},{"family":"Fabiani","given":"Giorgio"},{"family":"Ferreira","given":"Georgette Mouchaileh Evangelista"},{"family":"Araujo","given":"Jessica Pizatto","non-dropping-particle":"de"},{"family":"Hummelgen","given":"Eduardo"}],"issued":{"date-parts":[["2024",1,1]]}}}],"schema":"https://github.com/citation-style-language/schema/raw/master/csl-citation.json"} </w:instrText>
            </w:r>
            <w:r w:rsidRPr="002F58EA">
              <w:rPr>
                <w:rFonts w:cstheme="minorHAnsi"/>
                <w:sz w:val="24"/>
                <w:szCs w:val="24"/>
                <w:lang w:val="en-US"/>
              </w:rPr>
              <w:fldChar w:fldCharType="separate"/>
            </w:r>
            <w:r w:rsidRPr="0044537C">
              <w:rPr>
                <w:rFonts w:ascii="Calibri" w:hAnsi="Calibri" w:cs="Calibri"/>
                <w:sz w:val="24"/>
              </w:rPr>
              <w:t>[13]</w:t>
            </w:r>
            <w:r w:rsidRPr="002F58EA">
              <w:rPr>
                <w:rFonts w:cstheme="minorHAnsi"/>
                <w:sz w:val="24"/>
                <w:szCs w:val="24"/>
                <w:lang w:val="en-US"/>
              </w:rPr>
              <w:fldChar w:fldCharType="end"/>
            </w:r>
          </w:p>
        </w:tc>
        <w:tc>
          <w:tcPr>
            <w:tcW w:w="2410" w:type="dxa"/>
          </w:tcPr>
          <w:p w14:paraId="44CEF544" w14:textId="77777777" w:rsidR="00CD4E4A" w:rsidRPr="002F58EA" w:rsidRDefault="00CD4E4A" w:rsidP="00692E86">
            <w:pPr>
              <w:rPr>
                <w:rFonts w:cstheme="minorHAnsi"/>
                <w:sz w:val="24"/>
                <w:szCs w:val="24"/>
                <w:lang w:val="en-US"/>
              </w:rPr>
            </w:pPr>
            <w:r w:rsidRPr="002F58EA">
              <w:rPr>
                <w:rFonts w:cstheme="minorHAnsi"/>
                <w:sz w:val="24"/>
                <w:szCs w:val="24"/>
                <w:lang w:val="en-US"/>
              </w:rPr>
              <w:t>25 years</w:t>
            </w:r>
          </w:p>
        </w:tc>
      </w:tr>
      <w:tr w:rsidR="00005088" w:rsidRPr="00631F0E" w14:paraId="6D8201CF" w14:textId="77777777" w:rsidTr="00A57452">
        <w:tc>
          <w:tcPr>
            <w:tcW w:w="988" w:type="dxa"/>
          </w:tcPr>
          <w:p w14:paraId="4CF77BCC" w14:textId="004B8EA5" w:rsidR="00005088" w:rsidRPr="002F58EA" w:rsidRDefault="00C10D9F" w:rsidP="00005088">
            <w:pPr>
              <w:rPr>
                <w:rFonts w:eastAsia="Times New Roman" w:cstheme="minorHAnsi"/>
                <w:color w:val="000000"/>
                <w:kern w:val="0"/>
                <w:sz w:val="24"/>
                <w:szCs w:val="24"/>
                <w:lang w:val="en-US" w:eastAsia="da-DK"/>
                <w14:ligatures w14:val="none"/>
              </w:rPr>
            </w:pPr>
            <w:r>
              <w:rPr>
                <w:rFonts w:eastAsia="Times New Roman" w:cstheme="minorHAnsi"/>
                <w:color w:val="000000"/>
                <w:kern w:val="0"/>
                <w:sz w:val="24"/>
                <w:szCs w:val="24"/>
                <w:lang w:val="en-US" w:eastAsia="da-DK"/>
                <w14:ligatures w14:val="none"/>
              </w:rPr>
              <w:t>11</w:t>
            </w:r>
          </w:p>
        </w:tc>
        <w:tc>
          <w:tcPr>
            <w:tcW w:w="2976" w:type="dxa"/>
          </w:tcPr>
          <w:p w14:paraId="4D551A46" w14:textId="234EAE67" w:rsidR="00005088" w:rsidRPr="002F58EA" w:rsidRDefault="00005088" w:rsidP="00005088">
            <w:pPr>
              <w:rPr>
                <w:rFonts w:eastAsia="Times New Roman" w:cstheme="minorHAnsi"/>
                <w:color w:val="000000"/>
                <w:kern w:val="0"/>
                <w:sz w:val="24"/>
                <w:szCs w:val="24"/>
                <w:lang w:val="en-US" w:eastAsia="da-DK"/>
                <w14:ligatures w14:val="none"/>
              </w:rPr>
            </w:pPr>
            <w:r w:rsidRPr="002F58EA">
              <w:rPr>
                <w:rFonts w:eastAsia="Times New Roman" w:cstheme="minorHAnsi"/>
                <w:color w:val="000000"/>
                <w:kern w:val="0"/>
                <w:sz w:val="24"/>
                <w:szCs w:val="24"/>
                <w:lang w:val="en-US" w:eastAsia="da-DK"/>
                <w14:ligatures w14:val="none"/>
              </w:rPr>
              <w:t>Idiopathic T</w:t>
            </w:r>
            <w:r w:rsidR="0066185F">
              <w:rPr>
                <w:rFonts w:eastAsia="Times New Roman" w:cstheme="minorHAnsi"/>
                <w:color w:val="000000"/>
                <w:kern w:val="0"/>
                <w:sz w:val="24"/>
                <w:szCs w:val="24"/>
                <w:lang w:val="en-US" w:eastAsia="da-DK"/>
                <w14:ligatures w14:val="none"/>
              </w:rPr>
              <w:t>h</w:t>
            </w:r>
            <w:r w:rsidRPr="002F58EA">
              <w:rPr>
                <w:rFonts w:eastAsia="Times New Roman" w:cstheme="minorHAnsi"/>
                <w:color w:val="000000"/>
                <w:kern w:val="0"/>
                <w:sz w:val="24"/>
                <w:szCs w:val="24"/>
                <w:lang w:val="en-US" w:eastAsia="da-DK"/>
                <w14:ligatures w14:val="none"/>
              </w:rPr>
              <w:t>rombocytopenic Purpura</w:t>
            </w:r>
          </w:p>
        </w:tc>
        <w:tc>
          <w:tcPr>
            <w:tcW w:w="2268" w:type="dxa"/>
          </w:tcPr>
          <w:p w14:paraId="54DDCF1D" w14:textId="57BE6A86" w:rsidR="00005088" w:rsidRPr="002F58EA" w:rsidRDefault="00005088" w:rsidP="00005088">
            <w:pPr>
              <w:rPr>
                <w:rFonts w:cstheme="minorHAnsi"/>
                <w:sz w:val="24"/>
                <w:szCs w:val="24"/>
                <w:lang w:val="en-US"/>
              </w:rPr>
            </w:pPr>
            <w:r w:rsidRPr="002F58EA">
              <w:rPr>
                <w:rFonts w:cstheme="minorHAnsi"/>
                <w:sz w:val="24"/>
                <w:szCs w:val="24"/>
                <w:lang w:val="en-US"/>
              </w:rPr>
              <w:t>Yes</w:t>
            </w:r>
          </w:p>
        </w:tc>
        <w:tc>
          <w:tcPr>
            <w:tcW w:w="1843" w:type="dxa"/>
          </w:tcPr>
          <w:p w14:paraId="5C5F63A6" w14:textId="3F0982E0" w:rsidR="00005088" w:rsidRDefault="00005088" w:rsidP="00005088">
            <w:pPr>
              <w:rPr>
                <w:rFonts w:cstheme="minorHAnsi"/>
                <w:sz w:val="24"/>
                <w:szCs w:val="24"/>
                <w:lang w:val="en-US"/>
              </w:rPr>
            </w:pPr>
            <w:r>
              <w:rPr>
                <w:rFonts w:cstheme="minorHAnsi"/>
                <w:sz w:val="24"/>
                <w:szCs w:val="24"/>
                <w:lang w:val="en-US"/>
              </w:rPr>
              <w:t>Yes</w:t>
            </w:r>
          </w:p>
        </w:tc>
        <w:tc>
          <w:tcPr>
            <w:tcW w:w="3402" w:type="dxa"/>
          </w:tcPr>
          <w:p w14:paraId="6AEEB04D" w14:textId="4E2B8429" w:rsidR="00005088" w:rsidRPr="00FF7703" w:rsidRDefault="00005088" w:rsidP="00005088">
            <w:pPr>
              <w:rPr>
                <w:rFonts w:cstheme="minorHAnsi"/>
                <w:sz w:val="24"/>
                <w:szCs w:val="24"/>
                <w:vertAlign w:val="superscript"/>
                <w:lang w:val="en-US"/>
              </w:rPr>
            </w:pPr>
            <w:r w:rsidRPr="002F58EA">
              <w:rPr>
                <w:rFonts w:cstheme="minorHAnsi"/>
                <w:sz w:val="24"/>
                <w:szCs w:val="24"/>
                <w:lang w:val="en-US"/>
              </w:rPr>
              <w:t>Pharmacovigilance</w:t>
            </w:r>
            <w:r w:rsidRPr="002F58EA">
              <w:rPr>
                <w:rFonts w:cstheme="minorHAnsi"/>
                <w:sz w:val="24"/>
                <w:szCs w:val="24"/>
                <w:lang w:val="en-US"/>
              </w:rPr>
              <w:fldChar w:fldCharType="begin"/>
            </w:r>
            <w:r>
              <w:rPr>
                <w:rFonts w:cstheme="minorHAnsi"/>
                <w:sz w:val="24"/>
                <w:szCs w:val="24"/>
                <w:lang w:val="en-US"/>
              </w:rPr>
              <w:instrText xml:space="preserve"> ADDIN ZOTERO_ITEM CSL_CITATION {"citationID":"npWFPT0i","properties":{"formattedCitation":"[5,6]","plainCitation":"[5,6]","dontUpdate":true,"noteIndex":0},"citationItems":[{"id":720,"uris":["http://zotero.org/users/12610245/items/UT4KCTEA"],"itemData":{"id":720,"type":"article-journal","abstract":"Background\nThe Global COVID Vaccine Safety (GCoVS) Project, established in 2021 under the multinational Global Vaccine Data Network™ (GVDN®), facilitates comprehensive assessment of vaccine safety. This study aimed to evaluate the risk of adverse events of special interest (AESI) following COVID-19 vaccination from 10 sites across eight countries.\nMethods\nUsing a common protocol, this observational cohort study compared observed with expected rates of 13 selected AESI across neurological, haematological, and cardiac outcomes. Expected rates were obtained by participating sites using pre-COVID-19 vaccination healthcare data stratified by age and sex. Observed rates were reported from the same healthcare datasets since COVID-19 vaccination program rollout. AESI occurring up to 42 days following vaccination with mRNA (BNT162b2 and mRNA-1273) and adenovirus-vector (ChAdOx1) vaccines were included in the primary analysis. Risks were assessed using observed versus expected (OE) ratios with 95 % confidence intervals. Prioritised potential safety signals were those with lower bound of the 95 % confidence interval (LBCI) greater than 1.5.\nResults\nParticipants included 99,068,901 vaccinated individuals. In total, 183,559,462 doses of BNT162b2, 36,178,442 doses of mRNA-1273, and 23,093,399 doses of ChAdOx1 were administered across participating sites in the study period. Risk periods following homologous vaccination schedules contributed 23,168,335 person-years of follow-up. OE ratios with LBCI &gt; 1.5 were observed for Guillain-Barré syndrome (2.49, 95 % CI: 2.15, 2.87) and cerebral venous sinus thrombosis (3.23, 95 % CI: 2.51, 4.09) following the first dose of ChAdOx1 vaccine. Acute disseminated encephalomyelitis showed an OE ratio of 3.78 (95 % CI: 1.52, 7.78) following the first dose of mRNA-1273 vaccine. The OE ratios for myocarditis and pericarditis following BNT162b2, mRNA-1273, and ChAdOx1 were significantly increased with LBCIs &gt; 1.5.\nConclusion\nThis multi-country analysis confirmed pre-established safety signals for myocarditis, pericarditis, Guillain-Barré syndrome, and cerebral venous sinus thrombosis. Other potential safety signals that require further investigation were identified.","container-title":"Vaccine","DOI":"10.1016/j.vaccine.2024.01.100","ISSN":"0264-410X","issue":"9","journalAbbreviation":"Vaccine","page":"2200-2211","source":"ScienceDirect","title":"COVID-19 vaccines and adverse events of special interest: A multinational Global Vaccine Data Network (GVDN) cohort study of 99 million vaccinated individuals","title-short":"COVID-19 vaccines and adverse events of special interest","volume":"42","author":[{"family":"Faksova","given":"K."},{"family":"Walsh","given":"D."},{"family":"Jiang","given":"Y."},{"family":"Griffin","given":"J."},{"family":"Phillips","given":"A."},{"family":"Gentile","given":"A."},{"family":"Kwong","given":"J. C."},{"family":"Macartney","given":"K."},{"family":"Naus","given":"M."},{"family":"Grange","given":"Z."},{"family":"Escolano","given":"S."},{"family":"Sepulveda","given":"G."},{"family":"Shetty","given":"A."},{"family":"Pillsbury","given":"A."},{"family":"Sullivan","given":"C."},{"family":"Naveed","given":"Z."},{"family":"Janjua","given":"N. Z."},{"family":"Giglio","given":"N."},{"family":"Perälä","given":"J."},{"family":"Nasreen","given":"S."},{"family":"Gidding","given":"H."},{"family":"Hovi","given":"P."},{"family":"Vo","given":"T."},{"family":"Cui","given":"F."},{"family":"Deng","given":"L."},{"family":"Cullen","given":"L."},{"family":"Artama","given":"M."},{"family":"Lu","given":"H."},{"family":"Clothier","given":"H. J."},{"family":"Batty","given":"K."},{"family":"Paynter","given":"J."},{"family":"Petousis-Harris","given":"H."},{"family":"Buttery","given":"J."},{"family":"Black","given":"S."},{"family":"Hviid","given":"A."}],"issued":{"date-parts":[["2024",4,2]]}}},{"id":918,"uris":["http://zotero.org/users/12610245/items/DEWH6J2R"],"itemData":{"id":918,"type":"article-journal","abstract":"Coronavirus disease 2019 (COVID-19) is associated with a prothrombotic phenotype characterised by coagulopathy and endothelial dysfunction [1–4]. Following some cases of thrombosis after vaccination, the Oxford–AstraZeneca COVID-19 vaccine (AZD1222) was temporarily suspended by some European countries. The European Medicines Agency concluded that the benefits of the vaccine in combating the COVID-19 outbreak continue to outweigh the risk of side-effects. On 19 March, 2021, Germany reported 13 cases of sinus or cerebral vein thrombosis, with more than 1.6 million AstraZeneca COVID-19 vaccine doses administered. Some of these patients also had a heparin-induced thrombocytopenia (HIT)-like syndrome, which suggests an immunological event as one of the potential origins of thrombosis., This study observed an imbalance between venous and arterial thrombotic events in mRNA vaccines while with AZ1222 they are evenly shared. Our analysis highlights cerebral vein thrombosis with the three vaccines.\nhttps://bit.ly/3mZqguE","container-title":"The European Respiratory Journal","DOI":"10.1183/13993003.00956-2021","ISSN":"0903-1936","issue":"1","journalAbbreviation":"Eur Respir J","note":"PMID: 33863748\nPMCID: PMC8051185","page":"2100956","source":"PubMed Central","title":"Vaccination against COVID-19: insight from arterial and venous thrombosis occurrence using data from VigiBase","title-short":"Vaccination against COVID-19","volume":"58","author":[{"family":"Smadja","given":"David M."},{"family":"Yue","given":"Qun-Ying"},{"family":"Chocron","given":"Richard"},{"family":"Sanchez","given":"Olivier"},{"family":"Lillo-Le Louet","given":"Agnes"}],"issued":{"date-parts":[["2021",7,1]]}}}],"schema":"https://github.com/citation-style-language/schema/raw/master/csl-citation.json"} </w:instrText>
            </w:r>
            <w:r w:rsidRPr="002F58EA">
              <w:rPr>
                <w:rFonts w:cstheme="minorHAnsi"/>
                <w:sz w:val="24"/>
                <w:szCs w:val="24"/>
                <w:lang w:val="en-US"/>
              </w:rPr>
              <w:fldChar w:fldCharType="separate"/>
            </w:r>
            <w:r w:rsidRPr="00692E86">
              <w:rPr>
                <w:rFonts w:cstheme="minorHAnsi"/>
                <w:sz w:val="24"/>
                <w:szCs w:val="24"/>
                <w:lang w:val="en-US"/>
              </w:rPr>
              <w:t>[5]</w:t>
            </w:r>
            <w:r w:rsidRPr="002F58EA">
              <w:rPr>
                <w:rFonts w:cstheme="minorHAnsi"/>
                <w:sz w:val="24"/>
                <w:szCs w:val="24"/>
                <w:lang w:val="en-US"/>
              </w:rPr>
              <w:fldChar w:fldCharType="end"/>
            </w:r>
          </w:p>
          <w:p w14:paraId="527EC885" w14:textId="61EE6D83" w:rsidR="00005088" w:rsidRPr="002F58EA" w:rsidRDefault="00005088" w:rsidP="00005088">
            <w:pPr>
              <w:rPr>
                <w:rFonts w:cstheme="minorHAnsi"/>
                <w:sz w:val="24"/>
                <w:szCs w:val="24"/>
                <w:lang w:val="en-US"/>
              </w:rPr>
            </w:pPr>
            <w:r w:rsidRPr="002F58EA">
              <w:rPr>
                <w:rFonts w:cstheme="minorHAnsi"/>
                <w:sz w:val="24"/>
                <w:szCs w:val="24"/>
                <w:lang w:val="en-US"/>
              </w:rPr>
              <w:t>Case series</w:t>
            </w:r>
            <w:r w:rsidRPr="002F58EA">
              <w:rPr>
                <w:rFonts w:cstheme="minorHAnsi"/>
                <w:sz w:val="24"/>
                <w:szCs w:val="24"/>
                <w:lang w:val="en-US"/>
              </w:rPr>
              <w:fldChar w:fldCharType="begin"/>
            </w:r>
            <w:r w:rsidRPr="002F58EA">
              <w:rPr>
                <w:rFonts w:cstheme="minorHAnsi"/>
                <w:sz w:val="24"/>
                <w:szCs w:val="24"/>
                <w:lang w:val="en-US"/>
              </w:rPr>
              <w:instrText xml:space="preserve"> ADDIN ZOTERO_ITEM CSL_CITATION {"citationID":"WCQzz3ie","properties":{"formattedCitation":"[7]","plainCitation":"[7]","noteIndex":0},"citationItems":[{"id":770,"uris":["http://zotero.org/users/12610245/items/KU8YDGUY"],"itemData":{"id":770,"type":"article-journal","container-title":"American Journal of Hematology","DOI":"10.1002/ajh.26132","ISSN":"0361-8609","issue":"5","journalAbbreviation":"Am J Hematol","note":"PMID: 33606296\nPMCID: PMC8014568","page":"534-537","source":"PubMed Central","title":"Thrombocytopenia following Pfizer and Moderna SARS‐CoV‐2 vaccination","volume":"96","author":[{"family":"Lee","given":"Eun‐Ju"},{"family":"Cines","given":"Douglas B."},{"family":"Gernsheimer","given":"Terry"},{"family":"Kessler","given":"Craig"},{"family":"Michel","given":"Marc"},{"family":"Tarantino","given":"Michael D."},{"family":"Semple","given":"John W."},{"family":"Arnold","given":"Donald M."},{"family":"Godeau","given":"Bertrand"},{"family":"Lambert","given":"Michele P."},{"family":"Bussel","given":"James B."}],"issued":{"date-parts":[["2021",5]]}}}],"schema":"https://github.com/citation-style-language/schema/raw/master/csl-citation.json"} </w:instrText>
            </w:r>
            <w:r w:rsidRPr="002F58EA">
              <w:rPr>
                <w:rFonts w:cstheme="minorHAnsi"/>
                <w:sz w:val="24"/>
                <w:szCs w:val="24"/>
                <w:lang w:val="en-US"/>
              </w:rPr>
              <w:fldChar w:fldCharType="separate"/>
            </w:r>
            <w:r w:rsidRPr="00692E86">
              <w:rPr>
                <w:rFonts w:cstheme="minorHAnsi"/>
                <w:sz w:val="24"/>
                <w:szCs w:val="24"/>
                <w:lang w:val="en-US"/>
              </w:rPr>
              <w:t>[7]</w:t>
            </w:r>
            <w:r w:rsidRPr="002F58EA">
              <w:rPr>
                <w:rFonts w:cstheme="minorHAnsi"/>
                <w:sz w:val="24"/>
                <w:szCs w:val="24"/>
                <w:lang w:val="en-US"/>
              </w:rPr>
              <w:fldChar w:fldCharType="end"/>
            </w:r>
          </w:p>
        </w:tc>
        <w:tc>
          <w:tcPr>
            <w:tcW w:w="2410" w:type="dxa"/>
          </w:tcPr>
          <w:p w14:paraId="12EC1807" w14:textId="77777777" w:rsidR="00005088" w:rsidRPr="002F58EA" w:rsidRDefault="00005088" w:rsidP="00005088">
            <w:pPr>
              <w:rPr>
                <w:rFonts w:cstheme="minorHAnsi"/>
                <w:sz w:val="24"/>
                <w:szCs w:val="24"/>
                <w:lang w:val="en-US"/>
              </w:rPr>
            </w:pPr>
            <w:r w:rsidRPr="002F58EA">
              <w:rPr>
                <w:rFonts w:cstheme="minorHAnsi"/>
                <w:sz w:val="24"/>
                <w:szCs w:val="24"/>
                <w:lang w:val="en-US"/>
              </w:rPr>
              <w:t>0 to 80+ years</w:t>
            </w:r>
          </w:p>
          <w:p w14:paraId="64DF81C3" w14:textId="06628B6E" w:rsidR="00005088" w:rsidRPr="002F58EA" w:rsidRDefault="00005088" w:rsidP="00005088">
            <w:pPr>
              <w:rPr>
                <w:rFonts w:cstheme="minorHAnsi"/>
                <w:sz w:val="24"/>
                <w:szCs w:val="24"/>
                <w:lang w:val="en-US"/>
              </w:rPr>
            </w:pPr>
            <w:r w:rsidRPr="002F58EA">
              <w:rPr>
                <w:rFonts w:cstheme="minorHAnsi"/>
                <w:sz w:val="24"/>
                <w:szCs w:val="24"/>
                <w:lang w:val="en-US"/>
              </w:rPr>
              <w:t>22 to 73 years</w:t>
            </w:r>
          </w:p>
        </w:tc>
      </w:tr>
      <w:tr w:rsidR="00CD4E4A" w:rsidRPr="00631F0E" w14:paraId="4D7361C2" w14:textId="77777777" w:rsidTr="00E5078C">
        <w:tc>
          <w:tcPr>
            <w:tcW w:w="11477" w:type="dxa"/>
            <w:gridSpan w:val="5"/>
          </w:tcPr>
          <w:p w14:paraId="076302B6" w14:textId="68D59F9A" w:rsidR="00CD4E4A" w:rsidRPr="002F58EA" w:rsidRDefault="00CD4E4A" w:rsidP="00692E86">
            <w:pPr>
              <w:rPr>
                <w:rFonts w:cstheme="minorHAnsi"/>
                <w:sz w:val="24"/>
                <w:szCs w:val="24"/>
                <w:lang w:val="en-US"/>
              </w:rPr>
            </w:pPr>
            <w:r w:rsidRPr="002F58EA">
              <w:rPr>
                <w:rFonts w:cstheme="minorHAnsi"/>
                <w:b/>
                <w:bCs/>
                <w:sz w:val="24"/>
                <w:szCs w:val="24"/>
                <w:lang w:val="en-US"/>
              </w:rPr>
              <w:t>Infectious</w:t>
            </w:r>
            <w:r w:rsidR="00C61060">
              <w:rPr>
                <w:rFonts w:cstheme="minorHAnsi"/>
                <w:b/>
                <w:bCs/>
                <w:sz w:val="24"/>
                <w:szCs w:val="24"/>
                <w:lang w:val="en-US"/>
              </w:rPr>
              <w:t xml:space="preserve"> diseases</w:t>
            </w:r>
          </w:p>
        </w:tc>
        <w:tc>
          <w:tcPr>
            <w:tcW w:w="2410" w:type="dxa"/>
          </w:tcPr>
          <w:p w14:paraId="7C6BC50C" w14:textId="77777777" w:rsidR="00CD4E4A" w:rsidRPr="002F58EA" w:rsidRDefault="00CD4E4A" w:rsidP="00692E86">
            <w:pPr>
              <w:rPr>
                <w:rFonts w:cstheme="minorHAnsi"/>
                <w:b/>
                <w:bCs/>
                <w:sz w:val="24"/>
                <w:szCs w:val="24"/>
                <w:lang w:val="en-US"/>
              </w:rPr>
            </w:pPr>
          </w:p>
        </w:tc>
      </w:tr>
      <w:tr w:rsidR="00F06A67" w:rsidRPr="002F58EA" w14:paraId="08DC76DE" w14:textId="77777777" w:rsidTr="00E5078C">
        <w:tc>
          <w:tcPr>
            <w:tcW w:w="988" w:type="dxa"/>
          </w:tcPr>
          <w:p w14:paraId="5E7A27D1" w14:textId="77777777" w:rsidR="00CD4E4A" w:rsidRPr="002F58EA" w:rsidRDefault="00CD4E4A" w:rsidP="00692E86">
            <w:pPr>
              <w:rPr>
                <w:rFonts w:eastAsia="Times New Roman" w:cstheme="minorHAnsi"/>
                <w:color w:val="000000"/>
                <w:kern w:val="0"/>
                <w:sz w:val="24"/>
                <w:szCs w:val="24"/>
                <w:lang w:val="en-US" w:eastAsia="da-DK"/>
                <w14:ligatures w14:val="none"/>
              </w:rPr>
            </w:pPr>
            <w:r w:rsidRPr="002F58EA">
              <w:rPr>
                <w:rFonts w:eastAsia="Times New Roman" w:cstheme="minorHAnsi"/>
                <w:color w:val="000000"/>
                <w:kern w:val="0"/>
                <w:sz w:val="24"/>
                <w:szCs w:val="24"/>
                <w:lang w:val="en-US" w:eastAsia="da-DK"/>
                <w14:ligatures w14:val="none"/>
              </w:rPr>
              <w:t>19</w:t>
            </w:r>
          </w:p>
        </w:tc>
        <w:tc>
          <w:tcPr>
            <w:tcW w:w="2976" w:type="dxa"/>
          </w:tcPr>
          <w:p w14:paraId="0F565CB0" w14:textId="77777777" w:rsidR="00CD4E4A" w:rsidRPr="002F58EA" w:rsidRDefault="00CD4E4A" w:rsidP="00692E86">
            <w:pPr>
              <w:rPr>
                <w:rFonts w:cstheme="minorHAnsi"/>
                <w:b/>
                <w:bCs/>
                <w:sz w:val="24"/>
                <w:szCs w:val="24"/>
                <w:lang w:val="en-US"/>
              </w:rPr>
            </w:pPr>
            <w:r w:rsidRPr="002F58EA">
              <w:rPr>
                <w:rFonts w:eastAsia="Times New Roman" w:cstheme="minorHAnsi"/>
                <w:color w:val="000000"/>
                <w:kern w:val="0"/>
                <w:sz w:val="24"/>
                <w:szCs w:val="24"/>
                <w:lang w:val="en-US" w:eastAsia="da-DK"/>
                <w14:ligatures w14:val="none"/>
              </w:rPr>
              <w:t xml:space="preserve">Chronic sinusitis </w:t>
            </w:r>
          </w:p>
        </w:tc>
        <w:tc>
          <w:tcPr>
            <w:tcW w:w="2268" w:type="dxa"/>
          </w:tcPr>
          <w:p w14:paraId="7F2E84A8" w14:textId="2C51F4BB" w:rsidR="00CD4E4A" w:rsidRPr="002F58EA" w:rsidRDefault="00CD4E4A" w:rsidP="00692E86">
            <w:pPr>
              <w:rPr>
                <w:rFonts w:cstheme="minorHAnsi"/>
                <w:sz w:val="24"/>
                <w:szCs w:val="24"/>
                <w:lang w:val="en-US"/>
              </w:rPr>
            </w:pPr>
            <w:r w:rsidRPr="002F58EA">
              <w:rPr>
                <w:rFonts w:cstheme="minorHAnsi"/>
                <w:sz w:val="24"/>
                <w:szCs w:val="24"/>
                <w:lang w:val="en-US"/>
              </w:rPr>
              <w:t>Yes</w:t>
            </w:r>
          </w:p>
        </w:tc>
        <w:tc>
          <w:tcPr>
            <w:tcW w:w="1843" w:type="dxa"/>
          </w:tcPr>
          <w:p w14:paraId="400FCDF8" w14:textId="53762FF7" w:rsidR="00CD4E4A" w:rsidRPr="002F58EA" w:rsidRDefault="00093281" w:rsidP="00692E86">
            <w:pPr>
              <w:rPr>
                <w:rFonts w:cstheme="minorHAnsi"/>
                <w:sz w:val="24"/>
                <w:szCs w:val="24"/>
                <w:lang w:val="en-US"/>
              </w:rPr>
            </w:pPr>
            <w:r>
              <w:rPr>
                <w:rFonts w:cstheme="minorHAnsi"/>
                <w:sz w:val="24"/>
                <w:szCs w:val="24"/>
                <w:lang w:val="en-US"/>
              </w:rPr>
              <w:t>No</w:t>
            </w:r>
          </w:p>
        </w:tc>
        <w:tc>
          <w:tcPr>
            <w:tcW w:w="3402" w:type="dxa"/>
          </w:tcPr>
          <w:p w14:paraId="36A40E21" w14:textId="4AAF3EFA" w:rsidR="00CD4E4A" w:rsidRPr="002F58EA" w:rsidRDefault="00CD4E4A" w:rsidP="00692E86">
            <w:pPr>
              <w:rPr>
                <w:rFonts w:cstheme="minorHAnsi"/>
                <w:sz w:val="24"/>
                <w:szCs w:val="24"/>
                <w:lang w:val="en-US"/>
              </w:rPr>
            </w:pPr>
            <w:r w:rsidRPr="002F58EA">
              <w:rPr>
                <w:rFonts w:cstheme="minorHAnsi"/>
                <w:sz w:val="24"/>
                <w:szCs w:val="24"/>
                <w:lang w:val="en-US"/>
              </w:rPr>
              <w:t xml:space="preserve">Systematic review </w:t>
            </w:r>
            <w:r w:rsidRPr="002F58EA">
              <w:rPr>
                <w:rFonts w:cstheme="minorHAnsi"/>
                <w:sz w:val="24"/>
                <w:szCs w:val="24"/>
                <w:lang w:val="en-US"/>
              </w:rPr>
              <w:fldChar w:fldCharType="begin"/>
            </w:r>
            <w:r>
              <w:rPr>
                <w:rFonts w:cstheme="minorHAnsi"/>
                <w:sz w:val="24"/>
                <w:szCs w:val="24"/>
                <w:lang w:val="en-US"/>
              </w:rPr>
              <w:instrText xml:space="preserve"> ADDIN ZOTERO_ITEM CSL_CITATION {"citationID":"Zq1ytqaX","properties":{"formattedCitation":"[15]","plainCitation":"[15]","noteIndex":0},"citationItems":[{"id":731,"uris":["http://zotero.org/users/12610245/items/TVVXP9LI"],"itemData":{"id":731,"type":"article","abstract":"Importance Phase 3 randomized controlled trials (RCTs) of mRNA COVID-19 vaccines in children and adolescents showed efficacy in preventing COVID-19 infections. Vaccines may have non-specific effects.\nObjective Conduct a systematic review and meta-analysis of the phase 3 trials to assess overall and non-specific health effects of the mRNA COVID-19 vaccines.\nData Sources PubMed, Embase, Clinical Trials, Web of Science, and regulatory websites were searched for RCTs of mRNA vaccines. The latest trial data was included.\nStudy Selection All RCTs conducted with mRNA vaccines BNT162b2 and mRNA-1237 in children and adolescents below 18 years, with placebo, adjuvant, or other vaccines as controls. 1199 studies were screened; six were included in the analysis.\nData Extraction and Synthesis Data on serious adverse events (“SAEs”) and severe adverse events (“Severe AEs”) as well as organ-specific diseases was extracted following the PRISMA reporting guideline, with a focus on non-specific infectious events. Risk Ratios (RRs) comparing vaccine vs placebo were calculated for each vaccine and combined in Mantel-Haenszel estimates.\nMain Outcomes and Measures The primary outcomes were SAEs: overall, non-accident SAEs, and infectious SAEs, respectively. Secondary outcomes were Severe AEs and lower respiratory tract infection (LRTI) including RSV.\nResults The analyses included 25,549 individuals (17,538 received mRNA; 8,011 received placebo). The risk of SAEs was similar for vaccine and placebo recipients. Both mRNA vaccines were associated with increased risk of severe AEs in older children. In a combined analysis, the RR was 3.77 (1.56-9.13[0.4% vs 0.1% in vaccine vs placebo recipients]) in above 5 year-olds, and 0.82 (0.53-1.29)[0.8% vs 0.9%])in younger children, who received a lower dose of vaccine (p=0.003 for same effect in older and younger children). In the younger children, mRNA vaccines were associated with higher risk of LRTI (RR=2.80 (1.32-5.94)[0.6% vs 0.3%]) including a higher risk of RSV infections (RR=2.78 (1.09-7.06)[0.4% vs 0.2%]).\nConclusions and Relevance mRNA vaccines did not increase the risk of SAEs but were associated with an increased risk of severe AEs in older children, and an increased risk of LRTI, including RSV, in the young. Further research into the overall and non-specific health effects of mRNA vaccines is warranted.","DOI":"10.1101/2023.12.07.23298573","language":"en","license":"© 2024, Posted by Cold Spring Harbor Laboratory. This pre-print is available under a Creative Commons License (Attribution-NonCommercial 4.0 International), CC BY-NC 4.0, as described at http://creativecommons.org/licenses/by-nc/4.0/","note":"page: 2023.12.07.23298573","publisher":"medRxiv","source":"medRxiv","title":"Overall Health Effects of mRNA COVID-19 Vaccines in Children and Adolescents A Systematic Review and Meta-Analysis","URL":"https://www.medrxiv.org/content/10.1101/2023.12.07.23298573v3","author":[{"family":"Hoffmann","given":"Stine S."},{"family":"Nielsen","given":"Sebastian"},{"family":"Thysen","given":"Sanne M."},{"family":"Duriseti","given":"Ram"},{"family":"Benn","given":"Christine S."}],"accessed":{"date-parts":[["2024",10,31]]},"issued":{"date-parts":[["2024",1,18]]}}}],"schema":"https://github.com/citation-style-language/schema/raw/master/csl-citation.json"} </w:instrText>
            </w:r>
            <w:r w:rsidRPr="002F58EA">
              <w:rPr>
                <w:rFonts w:cstheme="minorHAnsi"/>
                <w:sz w:val="24"/>
                <w:szCs w:val="24"/>
                <w:lang w:val="en-US"/>
              </w:rPr>
              <w:fldChar w:fldCharType="separate"/>
            </w:r>
            <w:r w:rsidRPr="00DF05F5">
              <w:rPr>
                <w:rFonts w:ascii="Calibri" w:hAnsi="Calibri" w:cs="Calibri"/>
                <w:sz w:val="24"/>
              </w:rPr>
              <w:t>[15]</w:t>
            </w:r>
            <w:r w:rsidRPr="002F58EA">
              <w:rPr>
                <w:rFonts w:cstheme="minorHAnsi"/>
                <w:sz w:val="24"/>
                <w:szCs w:val="24"/>
                <w:lang w:val="en-US"/>
              </w:rPr>
              <w:fldChar w:fldCharType="end"/>
            </w:r>
            <w:r w:rsidRPr="002F58EA">
              <w:rPr>
                <w:rFonts w:cstheme="minorHAnsi"/>
                <w:sz w:val="24"/>
                <w:szCs w:val="24"/>
                <w:lang w:val="en-US"/>
              </w:rPr>
              <w:t xml:space="preserve"> </w:t>
            </w:r>
          </w:p>
        </w:tc>
        <w:tc>
          <w:tcPr>
            <w:tcW w:w="2410" w:type="dxa"/>
          </w:tcPr>
          <w:p w14:paraId="4EBECD72" w14:textId="77777777" w:rsidR="00CD4E4A" w:rsidRPr="002F58EA" w:rsidRDefault="00CD4E4A" w:rsidP="00692E86">
            <w:pPr>
              <w:rPr>
                <w:rFonts w:cstheme="minorHAnsi"/>
                <w:sz w:val="24"/>
                <w:szCs w:val="24"/>
                <w:lang w:val="en-US"/>
              </w:rPr>
            </w:pPr>
            <w:r w:rsidRPr="002F58EA">
              <w:rPr>
                <w:rFonts w:cstheme="minorHAnsi"/>
                <w:sz w:val="24"/>
                <w:szCs w:val="24"/>
                <w:lang w:val="en-US"/>
              </w:rPr>
              <w:t>0 to 17 years</w:t>
            </w:r>
          </w:p>
        </w:tc>
      </w:tr>
      <w:tr w:rsidR="00CD4E4A" w:rsidRPr="002F58EA" w14:paraId="30A22469" w14:textId="77777777" w:rsidTr="00E5078C">
        <w:tc>
          <w:tcPr>
            <w:tcW w:w="11477" w:type="dxa"/>
            <w:gridSpan w:val="5"/>
          </w:tcPr>
          <w:p w14:paraId="0CC8DE12" w14:textId="5220A149" w:rsidR="00CD4E4A" w:rsidRPr="002F58EA" w:rsidRDefault="00CD4E4A" w:rsidP="00692E86">
            <w:pPr>
              <w:rPr>
                <w:rFonts w:cstheme="minorHAnsi"/>
                <w:sz w:val="24"/>
                <w:szCs w:val="24"/>
                <w:lang w:val="en-US"/>
              </w:rPr>
            </w:pPr>
            <w:r w:rsidRPr="002F58EA">
              <w:rPr>
                <w:rFonts w:cstheme="minorHAnsi"/>
                <w:b/>
                <w:bCs/>
                <w:sz w:val="24"/>
                <w:szCs w:val="24"/>
                <w:lang w:val="en-US"/>
              </w:rPr>
              <w:lastRenderedPageBreak/>
              <w:t>Other</w:t>
            </w:r>
            <w:r w:rsidR="00C61060">
              <w:rPr>
                <w:rFonts w:cstheme="minorHAnsi"/>
                <w:b/>
                <w:bCs/>
                <w:sz w:val="24"/>
                <w:szCs w:val="24"/>
                <w:lang w:val="en-US"/>
              </w:rPr>
              <w:t xml:space="preserve"> diseases</w:t>
            </w:r>
          </w:p>
        </w:tc>
        <w:tc>
          <w:tcPr>
            <w:tcW w:w="2410" w:type="dxa"/>
          </w:tcPr>
          <w:p w14:paraId="10FC0D97" w14:textId="77777777" w:rsidR="00CD4E4A" w:rsidRPr="002F58EA" w:rsidRDefault="00CD4E4A" w:rsidP="00692E86">
            <w:pPr>
              <w:rPr>
                <w:rFonts w:cstheme="minorHAnsi"/>
                <w:b/>
                <w:bCs/>
                <w:sz w:val="24"/>
                <w:szCs w:val="24"/>
                <w:lang w:val="en-US"/>
              </w:rPr>
            </w:pPr>
          </w:p>
        </w:tc>
      </w:tr>
      <w:tr w:rsidR="00F06A67" w:rsidRPr="00631F0E" w14:paraId="4CDBCC30" w14:textId="77777777" w:rsidTr="00E5078C">
        <w:tc>
          <w:tcPr>
            <w:tcW w:w="988" w:type="dxa"/>
          </w:tcPr>
          <w:p w14:paraId="575B9FB8" w14:textId="77777777" w:rsidR="00CD4E4A" w:rsidRPr="002F58EA" w:rsidRDefault="00CD4E4A" w:rsidP="00692E86">
            <w:pPr>
              <w:rPr>
                <w:rFonts w:eastAsia="Times New Roman" w:cstheme="minorHAnsi"/>
                <w:color w:val="000000"/>
                <w:kern w:val="0"/>
                <w:sz w:val="24"/>
                <w:szCs w:val="24"/>
                <w:lang w:val="en-US" w:eastAsia="da-DK"/>
                <w14:ligatures w14:val="none"/>
              </w:rPr>
            </w:pPr>
            <w:r w:rsidRPr="002F58EA">
              <w:rPr>
                <w:rFonts w:eastAsia="Times New Roman" w:cstheme="minorHAnsi"/>
                <w:color w:val="000000"/>
                <w:kern w:val="0"/>
                <w:sz w:val="24"/>
                <w:szCs w:val="24"/>
                <w:lang w:val="en-US" w:eastAsia="da-DK"/>
                <w14:ligatures w14:val="none"/>
              </w:rPr>
              <w:t>18</w:t>
            </w:r>
          </w:p>
        </w:tc>
        <w:tc>
          <w:tcPr>
            <w:tcW w:w="2976" w:type="dxa"/>
          </w:tcPr>
          <w:p w14:paraId="710B2BEF" w14:textId="77777777" w:rsidR="00CD4E4A" w:rsidRPr="002F58EA" w:rsidRDefault="00CD4E4A" w:rsidP="00692E86">
            <w:pPr>
              <w:rPr>
                <w:rFonts w:cstheme="minorHAnsi"/>
                <w:b/>
                <w:bCs/>
                <w:sz w:val="24"/>
                <w:szCs w:val="24"/>
                <w:lang w:val="en-US"/>
              </w:rPr>
            </w:pPr>
            <w:r w:rsidRPr="002F58EA">
              <w:rPr>
                <w:rFonts w:eastAsia="Times New Roman" w:cstheme="minorHAnsi"/>
                <w:color w:val="000000"/>
                <w:kern w:val="0"/>
                <w:sz w:val="24"/>
                <w:szCs w:val="24"/>
                <w:lang w:val="en-US" w:eastAsia="da-DK"/>
                <w14:ligatures w14:val="none"/>
              </w:rPr>
              <w:t>Depression</w:t>
            </w:r>
          </w:p>
        </w:tc>
        <w:tc>
          <w:tcPr>
            <w:tcW w:w="2268" w:type="dxa"/>
          </w:tcPr>
          <w:p w14:paraId="54A164B6" w14:textId="72CE6B9E" w:rsidR="00CD4E4A" w:rsidRPr="002F58EA" w:rsidRDefault="00CD4E4A" w:rsidP="00692E86">
            <w:pPr>
              <w:rPr>
                <w:rFonts w:cstheme="minorHAnsi"/>
                <w:sz w:val="24"/>
                <w:szCs w:val="24"/>
                <w:lang w:val="en-US"/>
              </w:rPr>
            </w:pPr>
            <w:r w:rsidRPr="002F58EA">
              <w:rPr>
                <w:rFonts w:cstheme="minorHAnsi"/>
                <w:sz w:val="24"/>
                <w:szCs w:val="24"/>
                <w:lang w:val="en-US"/>
              </w:rPr>
              <w:t>Yes</w:t>
            </w:r>
          </w:p>
        </w:tc>
        <w:tc>
          <w:tcPr>
            <w:tcW w:w="1843" w:type="dxa"/>
          </w:tcPr>
          <w:p w14:paraId="22C83C2A" w14:textId="612C44F9" w:rsidR="00CD4E4A" w:rsidRPr="002F58EA" w:rsidRDefault="00093281" w:rsidP="00692E86">
            <w:pPr>
              <w:rPr>
                <w:rFonts w:cstheme="minorHAnsi"/>
                <w:sz w:val="24"/>
                <w:szCs w:val="24"/>
                <w:lang w:val="en-US"/>
              </w:rPr>
            </w:pPr>
            <w:r>
              <w:rPr>
                <w:rFonts w:cstheme="minorHAnsi"/>
                <w:sz w:val="24"/>
                <w:szCs w:val="24"/>
                <w:lang w:val="en-US"/>
              </w:rPr>
              <w:t>Yes</w:t>
            </w:r>
          </w:p>
        </w:tc>
        <w:tc>
          <w:tcPr>
            <w:tcW w:w="3402" w:type="dxa"/>
          </w:tcPr>
          <w:p w14:paraId="4EA181BE" w14:textId="60E09530" w:rsidR="00CD4E4A" w:rsidRPr="002F58EA" w:rsidRDefault="00CD4E4A" w:rsidP="00692E86">
            <w:pPr>
              <w:rPr>
                <w:rFonts w:cstheme="minorHAnsi"/>
                <w:sz w:val="24"/>
                <w:szCs w:val="24"/>
                <w:lang w:val="en-US"/>
              </w:rPr>
            </w:pPr>
            <w:r w:rsidRPr="002F58EA">
              <w:rPr>
                <w:rFonts w:cstheme="minorHAnsi"/>
                <w:sz w:val="24"/>
                <w:szCs w:val="24"/>
                <w:lang w:val="en-US"/>
              </w:rPr>
              <w:t>Cohort study</w:t>
            </w:r>
            <w:r w:rsidRPr="002F58EA">
              <w:rPr>
                <w:rFonts w:cstheme="minorHAnsi"/>
                <w:sz w:val="24"/>
                <w:szCs w:val="24"/>
                <w:lang w:val="en-US"/>
              </w:rPr>
              <w:fldChar w:fldCharType="begin"/>
            </w:r>
            <w:r>
              <w:rPr>
                <w:rFonts w:cstheme="minorHAnsi"/>
                <w:sz w:val="24"/>
                <w:szCs w:val="24"/>
                <w:lang w:val="en-US"/>
              </w:rPr>
              <w:instrText xml:space="preserve"> ADDIN ZOTERO_ITEM CSL_CITATION {"citationID":"iczEkwkA","properties":{"formattedCitation":"[16]","plainCitation":"[16]","noteIndex":0},"citationItems":[{"id":890,"uris":["http://zotero.org/users/12610245/items/S5M3MRN5"],"itemData":{"id":890,"type":"article-journal","abstract":"Evidence has suggested an increased risk of psychiatric manifestations following viral infections including coronavirus disease-2019 (COVID-19). However, psychiatric adverse events (AEs) after COVID-19 vaccination, which were documented in case reports and case series, remain unclear. This study is aimed to investigate the psychiatric AEs after COVID-19 vaccination from a large population-based cohort in Seoul, South Korea. We recruited 50% of the Seoul-resident population randomly selected from the Korean National Health Insurance Service (KNHIS) claims database on 1, January, 2021. The included participants (n = 2,027,353) from the Korean National Health Insurance Service claims database were divided into two groups according to COVID-19 vaccination. The cumulative incidences per 10,000 of psychiatric AEs were assessed on one week, two weeks, one month, and three months after COVID-19 vaccination. Hazard ratios (HRs) and 95% Confidence interval (CIs) of psychiatric AEs were measured for the vaccinated population. The cumulative incidence of depression, anxiety, dissociative, stress-related, and somatoform disorders, sleep disorders, and sexual disorders at three months following COVID-19 vaccination were higher in the vaccination group than no vaccination group. However, schizophrenia and bipolar disorders showed lower cumulative incidence in the vaccination group than in the non-vaccinated group. Depression (HR [95% CI] = 1.683 [1.520-1.863]), anxiety, dissociative, stress-related, and somatoform disorders (HR [95% CI] = 1.439 [1.322-1.568]), and sleep disorders (HR [95% CI] = 1.934 [1.738-2.152]) showed increased risks after COVID-19 vaccination, whereas the risks of schizophrenia (HR [95% CI] = 0.231 [0.164-0.326]) and bipolar disorder (HR [95% CI] = 0.672 [0.470-0.962]). COVID-19 vaccination increased the risks of depression, anxiety, dissociative, stress-related, and somatoform disorders, and sleep disorders while reducing the risk of schizophrenia and bipolar disorder. Therefore, special cautions are necessary for administering additional COVID-19 vaccinations to populations vulnerable to psychiatric AEs.","container-title":"Molecular Psychiatry","DOI":"10.1038/s41380-024-02627-0","ISSN":"1476-5578","issue":"11","journalAbbreviation":"Mol Psychiatry","language":"eng","note":"PMID: 38834668\nPMCID: PMC11541197","page":"3635-3643","source":"PubMed","title":"Psychiatric adverse events following COVID-19 vaccination: a population-based cohort study in Seoul, South Korea","title-short":"Psychiatric adverse events following COVID-19 vaccination","volume":"29","author":[{"family":"Kim","given":"Hong Jin"},{"family":"Kim","given":"Min-Ho"},{"family":"Choi","given":"Myeong Geun"},{"family":"Chun","given":"Eun Mi"}],"issued":{"date-parts":[["2024",11]]}}}],"schema":"https://github.com/citation-style-language/schema/raw/master/csl-citation.json"} </w:instrText>
            </w:r>
            <w:r w:rsidRPr="002F58EA">
              <w:rPr>
                <w:rFonts w:cstheme="minorHAnsi"/>
                <w:sz w:val="24"/>
                <w:szCs w:val="24"/>
                <w:lang w:val="en-US"/>
              </w:rPr>
              <w:fldChar w:fldCharType="separate"/>
            </w:r>
            <w:r w:rsidRPr="00E5078C">
              <w:rPr>
                <w:rFonts w:ascii="Calibri" w:hAnsi="Calibri" w:cs="Calibri"/>
                <w:sz w:val="24"/>
                <w:lang w:val="en-US"/>
              </w:rPr>
              <w:t>[16]</w:t>
            </w:r>
            <w:r w:rsidRPr="002F58EA">
              <w:rPr>
                <w:rFonts w:cstheme="minorHAnsi"/>
                <w:sz w:val="24"/>
                <w:szCs w:val="24"/>
                <w:lang w:val="en-US"/>
              </w:rPr>
              <w:fldChar w:fldCharType="end"/>
            </w:r>
          </w:p>
        </w:tc>
        <w:tc>
          <w:tcPr>
            <w:tcW w:w="2410" w:type="dxa"/>
          </w:tcPr>
          <w:p w14:paraId="24FB37E2" w14:textId="77777777" w:rsidR="00CD4E4A" w:rsidRPr="002F58EA" w:rsidRDefault="00CD4E4A" w:rsidP="00692E86">
            <w:pPr>
              <w:rPr>
                <w:rFonts w:cstheme="minorHAnsi"/>
                <w:sz w:val="24"/>
                <w:szCs w:val="24"/>
                <w:lang w:val="en-US"/>
              </w:rPr>
            </w:pPr>
            <w:r w:rsidRPr="002F58EA">
              <w:rPr>
                <w:rFonts w:cstheme="minorHAnsi"/>
                <w:sz w:val="24"/>
                <w:szCs w:val="24"/>
                <w:lang w:val="en-US"/>
              </w:rPr>
              <w:t>20 to 80+ years</w:t>
            </w:r>
          </w:p>
        </w:tc>
      </w:tr>
      <w:tr w:rsidR="00F06A67" w:rsidRPr="00631F0E" w14:paraId="7687ED4E" w14:textId="77777777" w:rsidTr="00E5078C">
        <w:tc>
          <w:tcPr>
            <w:tcW w:w="988" w:type="dxa"/>
          </w:tcPr>
          <w:p w14:paraId="6FB48CB1" w14:textId="77777777" w:rsidR="00CD4E4A" w:rsidRPr="002F58EA" w:rsidRDefault="00CD4E4A" w:rsidP="00692E86">
            <w:pPr>
              <w:rPr>
                <w:rFonts w:cstheme="minorHAnsi"/>
                <w:sz w:val="24"/>
                <w:szCs w:val="24"/>
                <w:lang w:val="en-US"/>
              </w:rPr>
            </w:pPr>
            <w:r w:rsidRPr="002F58EA">
              <w:rPr>
                <w:rFonts w:cstheme="minorHAnsi"/>
                <w:sz w:val="24"/>
                <w:szCs w:val="24"/>
                <w:lang w:val="en-US"/>
              </w:rPr>
              <w:t>12</w:t>
            </w:r>
          </w:p>
        </w:tc>
        <w:tc>
          <w:tcPr>
            <w:tcW w:w="2976" w:type="dxa"/>
          </w:tcPr>
          <w:p w14:paraId="7C86589C" w14:textId="77777777" w:rsidR="00CD4E4A" w:rsidRPr="002F58EA" w:rsidRDefault="00CD4E4A" w:rsidP="00692E86">
            <w:pPr>
              <w:rPr>
                <w:rFonts w:cstheme="minorHAnsi"/>
                <w:b/>
                <w:bCs/>
                <w:sz w:val="24"/>
                <w:szCs w:val="24"/>
                <w:lang w:val="en-US"/>
              </w:rPr>
            </w:pPr>
            <w:r w:rsidRPr="002F58EA">
              <w:rPr>
                <w:rFonts w:cstheme="minorHAnsi"/>
                <w:sz w:val="24"/>
                <w:szCs w:val="24"/>
                <w:lang w:val="en-US"/>
              </w:rPr>
              <w:t>Myositis ossificans</w:t>
            </w:r>
          </w:p>
        </w:tc>
        <w:tc>
          <w:tcPr>
            <w:tcW w:w="2268" w:type="dxa"/>
          </w:tcPr>
          <w:p w14:paraId="490251AE" w14:textId="5E3E01BF" w:rsidR="00CD4E4A" w:rsidRPr="002F58EA" w:rsidRDefault="00CD4E4A" w:rsidP="00692E86">
            <w:pPr>
              <w:rPr>
                <w:rFonts w:cstheme="minorHAnsi"/>
                <w:sz w:val="24"/>
                <w:szCs w:val="24"/>
                <w:lang w:val="en-US"/>
              </w:rPr>
            </w:pPr>
            <w:r w:rsidRPr="002F58EA">
              <w:rPr>
                <w:rFonts w:cstheme="minorHAnsi"/>
                <w:sz w:val="24"/>
                <w:szCs w:val="24"/>
                <w:lang w:val="en-US"/>
              </w:rPr>
              <w:t>No</w:t>
            </w:r>
          </w:p>
        </w:tc>
        <w:tc>
          <w:tcPr>
            <w:tcW w:w="1843" w:type="dxa"/>
          </w:tcPr>
          <w:p w14:paraId="61263FC2" w14:textId="77101E61" w:rsidR="00CD4E4A" w:rsidRPr="002F58EA" w:rsidRDefault="00093281" w:rsidP="00692E86">
            <w:pPr>
              <w:rPr>
                <w:rFonts w:cstheme="minorHAnsi"/>
                <w:sz w:val="24"/>
                <w:szCs w:val="24"/>
                <w:lang w:val="en-US"/>
              </w:rPr>
            </w:pPr>
            <w:r>
              <w:rPr>
                <w:rFonts w:cstheme="minorHAnsi"/>
                <w:sz w:val="24"/>
                <w:szCs w:val="24"/>
                <w:lang w:val="en-US"/>
              </w:rPr>
              <w:t>No</w:t>
            </w:r>
          </w:p>
        </w:tc>
        <w:tc>
          <w:tcPr>
            <w:tcW w:w="3402" w:type="dxa"/>
          </w:tcPr>
          <w:p w14:paraId="79046789" w14:textId="7464FC0C" w:rsidR="00CD4E4A" w:rsidRPr="002F58EA" w:rsidRDefault="00CD4E4A" w:rsidP="00692E86">
            <w:pPr>
              <w:rPr>
                <w:rFonts w:cstheme="minorHAnsi"/>
                <w:sz w:val="24"/>
                <w:szCs w:val="24"/>
                <w:lang w:val="en-US"/>
              </w:rPr>
            </w:pPr>
            <w:r w:rsidRPr="002F58EA">
              <w:rPr>
                <w:rFonts w:cstheme="minorHAnsi"/>
                <w:sz w:val="24"/>
                <w:szCs w:val="24"/>
                <w:lang w:val="en-US"/>
              </w:rPr>
              <w:t>Case report</w:t>
            </w:r>
            <w:r w:rsidRPr="002F58EA">
              <w:rPr>
                <w:rFonts w:cstheme="minorHAnsi"/>
                <w:sz w:val="24"/>
                <w:szCs w:val="24"/>
                <w:lang w:val="en-US"/>
              </w:rPr>
              <w:fldChar w:fldCharType="begin"/>
            </w:r>
            <w:r>
              <w:rPr>
                <w:rFonts w:cstheme="minorHAnsi"/>
                <w:sz w:val="24"/>
                <w:szCs w:val="24"/>
                <w:lang w:val="en-US"/>
              </w:rPr>
              <w:instrText xml:space="preserve"> ADDIN ZOTERO_ITEM CSL_CITATION {"citationID":"mbmRpL4f","properties":{"formattedCitation":"[17]","plainCitation":"[17]","noteIndex":0},"citationItems":[{"id":800,"uris":["http://zotero.org/users/12610245/items/6BL2CXCP"],"itemData":{"id":800,"type":"article-journal","abstract":"Learning point for cliniciansVaccination injection site adverse reactions are common and usually are represented by transitory pain and edema. We present a case of an intramuscular inflammatory nodule related to myositis ossificans following COVID-19 vaccination, and focus on the imaging findings to differentiate with other diagnosis, such as muscle edema, abscess and tumors.","container-title":"QJM: An International Journal of Medicine","DOI":"10.1093/qjmed/hcab161","ISSN":"1460-2725","issue":"9","journalAbbreviation":"QJM: An International Journal of Medicine","page":"659-660","source":"Silverchair","title":"Myositis ossificans following COVID-19 vaccination","volume":"114","author":[{"family":"Godoy","given":"I R B"},{"family":"Rodrigues","given":"T C"},{"family":"Skaf","given":"A"}],"issued":{"date-parts":[["2021",9,1]]}}}],"schema":"https://github.com/citation-style-language/schema/raw/master/csl-citation.json"} </w:instrText>
            </w:r>
            <w:r w:rsidRPr="002F58EA">
              <w:rPr>
                <w:rFonts w:cstheme="minorHAnsi"/>
                <w:sz w:val="24"/>
                <w:szCs w:val="24"/>
                <w:lang w:val="en-US"/>
              </w:rPr>
              <w:fldChar w:fldCharType="separate"/>
            </w:r>
            <w:r w:rsidRPr="00E5078C">
              <w:rPr>
                <w:rFonts w:ascii="Calibri" w:hAnsi="Calibri" w:cs="Calibri"/>
                <w:sz w:val="24"/>
                <w:lang w:val="en-US"/>
              </w:rPr>
              <w:t>[17]</w:t>
            </w:r>
            <w:r w:rsidRPr="002F58EA">
              <w:rPr>
                <w:rFonts w:cstheme="minorHAnsi"/>
                <w:sz w:val="24"/>
                <w:szCs w:val="24"/>
                <w:lang w:val="en-US"/>
              </w:rPr>
              <w:fldChar w:fldCharType="end"/>
            </w:r>
          </w:p>
        </w:tc>
        <w:tc>
          <w:tcPr>
            <w:tcW w:w="2410" w:type="dxa"/>
          </w:tcPr>
          <w:p w14:paraId="3904DF1E" w14:textId="77777777" w:rsidR="00CD4E4A" w:rsidRPr="002F58EA" w:rsidRDefault="00CD4E4A" w:rsidP="00692E86">
            <w:pPr>
              <w:rPr>
                <w:rFonts w:cstheme="minorHAnsi"/>
                <w:sz w:val="24"/>
                <w:szCs w:val="24"/>
                <w:lang w:val="en-US"/>
              </w:rPr>
            </w:pPr>
            <w:r w:rsidRPr="002F58EA">
              <w:rPr>
                <w:rFonts w:cstheme="minorHAnsi"/>
                <w:sz w:val="24"/>
                <w:szCs w:val="24"/>
                <w:lang w:val="en-US"/>
              </w:rPr>
              <w:t>51 years</w:t>
            </w:r>
          </w:p>
        </w:tc>
      </w:tr>
      <w:tr w:rsidR="00F06A67" w:rsidRPr="00631F0E" w14:paraId="653310A2" w14:textId="77777777" w:rsidTr="00E5078C">
        <w:tc>
          <w:tcPr>
            <w:tcW w:w="988" w:type="dxa"/>
          </w:tcPr>
          <w:p w14:paraId="40024A18" w14:textId="77777777" w:rsidR="00CD4E4A" w:rsidRPr="002F58EA" w:rsidRDefault="00CD4E4A" w:rsidP="00692E86">
            <w:pPr>
              <w:rPr>
                <w:rFonts w:cstheme="minorHAnsi"/>
                <w:sz w:val="24"/>
                <w:szCs w:val="24"/>
                <w:lang w:val="en-US"/>
              </w:rPr>
            </w:pPr>
            <w:r w:rsidRPr="002F58EA">
              <w:rPr>
                <w:rFonts w:cstheme="minorHAnsi"/>
                <w:sz w:val="24"/>
                <w:szCs w:val="24"/>
                <w:lang w:val="en-US"/>
              </w:rPr>
              <w:t>6</w:t>
            </w:r>
          </w:p>
        </w:tc>
        <w:tc>
          <w:tcPr>
            <w:tcW w:w="2976" w:type="dxa"/>
          </w:tcPr>
          <w:p w14:paraId="32E15083" w14:textId="77777777" w:rsidR="00CD4E4A" w:rsidRPr="002F58EA" w:rsidRDefault="00CD4E4A" w:rsidP="00692E86">
            <w:pPr>
              <w:rPr>
                <w:rFonts w:cstheme="minorHAnsi"/>
                <w:b/>
                <w:bCs/>
                <w:sz w:val="24"/>
                <w:szCs w:val="24"/>
                <w:lang w:val="en-US"/>
              </w:rPr>
            </w:pPr>
            <w:r w:rsidRPr="002F58EA">
              <w:rPr>
                <w:rFonts w:cstheme="minorHAnsi"/>
                <w:sz w:val="24"/>
                <w:szCs w:val="24"/>
                <w:lang w:val="en-US"/>
              </w:rPr>
              <w:t>Pervasive development disorder</w:t>
            </w:r>
          </w:p>
        </w:tc>
        <w:tc>
          <w:tcPr>
            <w:tcW w:w="2268" w:type="dxa"/>
          </w:tcPr>
          <w:p w14:paraId="08DA8A9C" w14:textId="58FFD51B" w:rsidR="00CD4E4A" w:rsidRPr="002F58EA" w:rsidRDefault="00CD4E4A" w:rsidP="00692E86">
            <w:pPr>
              <w:rPr>
                <w:rFonts w:cstheme="minorHAnsi"/>
                <w:sz w:val="24"/>
                <w:szCs w:val="24"/>
                <w:lang w:val="en-US"/>
              </w:rPr>
            </w:pPr>
            <w:r w:rsidRPr="002F58EA">
              <w:rPr>
                <w:rFonts w:cstheme="minorHAnsi"/>
                <w:sz w:val="24"/>
                <w:szCs w:val="24"/>
                <w:lang w:val="en-US"/>
              </w:rPr>
              <w:t>No</w:t>
            </w:r>
          </w:p>
        </w:tc>
        <w:tc>
          <w:tcPr>
            <w:tcW w:w="1843" w:type="dxa"/>
          </w:tcPr>
          <w:p w14:paraId="264E1520" w14:textId="58ABC9E1" w:rsidR="00CD4E4A" w:rsidRPr="002F58EA" w:rsidRDefault="00093281" w:rsidP="00692E86">
            <w:pPr>
              <w:rPr>
                <w:rFonts w:cstheme="minorHAnsi"/>
                <w:sz w:val="24"/>
                <w:szCs w:val="24"/>
                <w:lang w:val="en-US"/>
              </w:rPr>
            </w:pPr>
            <w:r>
              <w:rPr>
                <w:rFonts w:cstheme="minorHAnsi"/>
                <w:sz w:val="24"/>
                <w:szCs w:val="24"/>
                <w:lang w:val="en-US"/>
              </w:rPr>
              <w:t>No</w:t>
            </w:r>
          </w:p>
        </w:tc>
        <w:tc>
          <w:tcPr>
            <w:tcW w:w="3402" w:type="dxa"/>
          </w:tcPr>
          <w:p w14:paraId="43042E0E" w14:textId="2C21C34C" w:rsidR="00CD4E4A" w:rsidRPr="002F58EA" w:rsidRDefault="00CD4E4A" w:rsidP="00692E86">
            <w:pPr>
              <w:rPr>
                <w:rFonts w:cstheme="minorHAnsi"/>
                <w:sz w:val="24"/>
                <w:szCs w:val="24"/>
                <w:lang w:val="en-US"/>
              </w:rPr>
            </w:pPr>
            <w:r w:rsidRPr="002F58EA">
              <w:rPr>
                <w:rFonts w:cstheme="minorHAnsi"/>
                <w:sz w:val="24"/>
                <w:szCs w:val="24"/>
                <w:lang w:val="en-US"/>
              </w:rPr>
              <w:t>None found</w:t>
            </w:r>
          </w:p>
        </w:tc>
        <w:tc>
          <w:tcPr>
            <w:tcW w:w="2410" w:type="dxa"/>
          </w:tcPr>
          <w:p w14:paraId="1267AF72" w14:textId="77777777" w:rsidR="00CD4E4A" w:rsidRPr="002F58EA" w:rsidRDefault="00CD4E4A" w:rsidP="00692E86">
            <w:pPr>
              <w:rPr>
                <w:rFonts w:cstheme="minorHAnsi"/>
                <w:sz w:val="24"/>
                <w:szCs w:val="24"/>
                <w:lang w:val="en-US"/>
              </w:rPr>
            </w:pPr>
            <w:r w:rsidRPr="002F58EA">
              <w:rPr>
                <w:rFonts w:cstheme="minorHAnsi"/>
                <w:sz w:val="24"/>
                <w:szCs w:val="24"/>
                <w:lang w:val="en-US"/>
              </w:rPr>
              <w:t>-</w:t>
            </w:r>
          </w:p>
        </w:tc>
      </w:tr>
      <w:tr w:rsidR="005C0D59" w:rsidRPr="005C0D59" w14:paraId="711D9046" w14:textId="77777777" w:rsidTr="00E5078C">
        <w:tc>
          <w:tcPr>
            <w:tcW w:w="988" w:type="dxa"/>
          </w:tcPr>
          <w:p w14:paraId="1982BC25" w14:textId="11745274" w:rsidR="005C0D59" w:rsidRPr="002F58EA" w:rsidRDefault="005C0D59" w:rsidP="005C0D59">
            <w:pPr>
              <w:rPr>
                <w:rFonts w:cstheme="minorHAnsi"/>
                <w:sz w:val="24"/>
                <w:szCs w:val="24"/>
                <w:lang w:val="en-US"/>
              </w:rPr>
            </w:pPr>
            <w:r w:rsidRPr="002F58EA">
              <w:rPr>
                <w:rFonts w:eastAsia="Times New Roman" w:cstheme="minorHAnsi"/>
                <w:color w:val="000000"/>
                <w:kern w:val="0"/>
                <w:sz w:val="24"/>
                <w:szCs w:val="24"/>
                <w:lang w:val="en-US" w:eastAsia="da-DK"/>
                <w14:ligatures w14:val="none"/>
              </w:rPr>
              <w:t>2, 6, 8, 17</w:t>
            </w:r>
            <w:r>
              <w:rPr>
                <w:rFonts w:eastAsia="Times New Roman" w:cstheme="minorHAnsi"/>
                <w:color w:val="000000"/>
                <w:kern w:val="0"/>
                <w:sz w:val="24"/>
                <w:szCs w:val="24"/>
                <w:lang w:val="en-US" w:eastAsia="da-DK"/>
                <w14:ligatures w14:val="none"/>
              </w:rPr>
              <w:t>,18</w:t>
            </w:r>
          </w:p>
        </w:tc>
        <w:tc>
          <w:tcPr>
            <w:tcW w:w="2976" w:type="dxa"/>
          </w:tcPr>
          <w:p w14:paraId="477888BE" w14:textId="2ECC650C" w:rsidR="005C0D59" w:rsidRPr="002F58EA" w:rsidRDefault="005C0D59" w:rsidP="005C0D59">
            <w:pPr>
              <w:rPr>
                <w:rFonts w:cstheme="minorHAnsi"/>
                <w:sz w:val="24"/>
                <w:szCs w:val="24"/>
                <w:lang w:val="en-US"/>
              </w:rPr>
            </w:pPr>
            <w:r w:rsidRPr="002F58EA">
              <w:rPr>
                <w:rFonts w:eastAsia="Times New Roman" w:cstheme="minorHAnsi"/>
                <w:color w:val="000000"/>
                <w:kern w:val="0"/>
                <w:sz w:val="24"/>
                <w:szCs w:val="24"/>
                <w:lang w:val="en-US" w:eastAsia="da-DK"/>
                <w14:ligatures w14:val="none"/>
              </w:rPr>
              <w:t>Post viral fatigue syndrome</w:t>
            </w:r>
          </w:p>
        </w:tc>
        <w:tc>
          <w:tcPr>
            <w:tcW w:w="2268" w:type="dxa"/>
          </w:tcPr>
          <w:p w14:paraId="7622CECA" w14:textId="69CB1747" w:rsidR="005C0D59" w:rsidRPr="002F58EA" w:rsidRDefault="005C0D59" w:rsidP="005C0D59">
            <w:pPr>
              <w:rPr>
                <w:rFonts w:cstheme="minorHAnsi"/>
                <w:sz w:val="24"/>
                <w:szCs w:val="24"/>
                <w:lang w:val="en-US"/>
              </w:rPr>
            </w:pPr>
            <w:r w:rsidRPr="002F58EA">
              <w:rPr>
                <w:rFonts w:cstheme="minorHAnsi"/>
                <w:sz w:val="24"/>
                <w:szCs w:val="24"/>
                <w:lang w:val="en-US"/>
              </w:rPr>
              <w:t>No</w:t>
            </w:r>
          </w:p>
        </w:tc>
        <w:tc>
          <w:tcPr>
            <w:tcW w:w="1843" w:type="dxa"/>
          </w:tcPr>
          <w:p w14:paraId="30641F8F" w14:textId="2F48DF4D" w:rsidR="005C0D59" w:rsidRDefault="005C0D59" w:rsidP="005C0D59">
            <w:pPr>
              <w:rPr>
                <w:rFonts w:cstheme="minorHAnsi"/>
                <w:sz w:val="24"/>
                <w:szCs w:val="24"/>
                <w:lang w:val="en-US"/>
              </w:rPr>
            </w:pPr>
            <w:r>
              <w:rPr>
                <w:rFonts w:cstheme="minorHAnsi"/>
                <w:sz w:val="24"/>
                <w:szCs w:val="24"/>
                <w:lang w:val="en-US"/>
              </w:rPr>
              <w:t>No</w:t>
            </w:r>
          </w:p>
        </w:tc>
        <w:tc>
          <w:tcPr>
            <w:tcW w:w="3402" w:type="dxa"/>
          </w:tcPr>
          <w:p w14:paraId="0C1B7450" w14:textId="19AB6504" w:rsidR="005C0D59" w:rsidRPr="002F58EA" w:rsidRDefault="005C0D59" w:rsidP="005C0D59">
            <w:pPr>
              <w:rPr>
                <w:rFonts w:cstheme="minorHAnsi"/>
                <w:sz w:val="24"/>
                <w:szCs w:val="24"/>
                <w:lang w:val="en-US"/>
              </w:rPr>
            </w:pPr>
            <w:r w:rsidRPr="002F58EA">
              <w:rPr>
                <w:rFonts w:cstheme="minorHAnsi"/>
                <w:sz w:val="24"/>
                <w:szCs w:val="24"/>
                <w:lang w:val="en-US"/>
              </w:rPr>
              <w:t xml:space="preserve">Explorative </w:t>
            </w:r>
            <w:r w:rsidRPr="002F58EA">
              <w:rPr>
                <w:rFonts w:cstheme="minorHAnsi"/>
                <w:sz w:val="24"/>
                <w:szCs w:val="24"/>
                <w:lang w:val="en-US"/>
              </w:rPr>
              <w:fldChar w:fldCharType="begin"/>
            </w:r>
            <w:r>
              <w:rPr>
                <w:rFonts w:cstheme="minorHAnsi"/>
                <w:sz w:val="24"/>
                <w:szCs w:val="24"/>
                <w:lang w:val="en-US"/>
              </w:rPr>
              <w:instrText xml:space="preserve"> ADDIN ZOTERO_ITEM CSL_CITATION {"citationID":"a2k5h1n0dqg","properties":{"formattedCitation":"[18]","plainCitation":"[18]","noteIndex":0},"citationItems":[{"id":738,"uris":["http://zotero.org/users/12610245/items/KM4SIUIT"],"itemData":{"id":738,"type":"article-journal","abstract":"SARS-CoV-2 mRNA vaccination can entail chronic fatigue/dysautonomia tentatively termed post-acute COVID-19 vaccination syndrome (PACVS). We explored receptor autoantibodies and interleukin-6 (IL-6) as somatic correlates of PACVS. Blood markers ...","container-title":"Vaccines","DOI":"10.3390/vaccines11111642","issue":"11","language":"en","note":"PMID: 38005974","page":"1642","source":"pmc.ncbi.nlm.nih.gov","title":"Chronic Fatigue and Dysautonomia following COVID-19 Vaccination Is Distinguished from Normal Vaccination Response by Altered Blood Markers","volume":"11","author":[{"family":"Semmler","given":"Amelie"},{"family":"Mundorf","given":"Anna Katharina"},{"family":"Kuechler","given":"Anna Sabrina"},{"family":"Schulze-Bosse","given":"Karin"},{"family":"Heidecke","given":"Harald"},{"family":"Schulze-Forster","given":"Kai"},{"family":"Schott","given":"Matthias"},{"family":"Uhrberg","given":"Markus"},{"family":"Weinhold","given":"Sandra"},{"family":"Lackner","given":"Karl J."},{"family":"Pawlitzki","given":"Marc"},{"family":"Meuth","given":"Sven Guenther"},{"family":"Boege","given":"Fritz"},{"family":"Ruhrländer","given":"Jana"}],"issued":{"date-parts":[["2023",10,26]]}}}],"schema":"https://github.com/citation-style-language/schema/raw/master/csl-citation.json"} </w:instrText>
            </w:r>
            <w:r w:rsidRPr="002F58EA">
              <w:rPr>
                <w:rFonts w:cstheme="minorHAnsi"/>
                <w:sz w:val="24"/>
                <w:szCs w:val="24"/>
                <w:lang w:val="en-US"/>
              </w:rPr>
              <w:fldChar w:fldCharType="separate"/>
            </w:r>
            <w:r w:rsidRPr="009B1D0B">
              <w:rPr>
                <w:rFonts w:ascii="Calibri" w:hAnsi="Calibri" w:cs="Calibri"/>
                <w:kern w:val="0"/>
                <w:sz w:val="24"/>
              </w:rPr>
              <w:t>[18]</w:t>
            </w:r>
            <w:r w:rsidRPr="002F58EA">
              <w:rPr>
                <w:rFonts w:cstheme="minorHAnsi"/>
                <w:sz w:val="24"/>
                <w:szCs w:val="24"/>
                <w:lang w:val="en-US"/>
              </w:rPr>
              <w:fldChar w:fldCharType="end"/>
            </w:r>
          </w:p>
        </w:tc>
        <w:tc>
          <w:tcPr>
            <w:tcW w:w="2410" w:type="dxa"/>
          </w:tcPr>
          <w:p w14:paraId="1449DFDB" w14:textId="5F4F0E56" w:rsidR="005C0D59" w:rsidRPr="002F58EA" w:rsidRDefault="005C0D59" w:rsidP="005C0D59">
            <w:pPr>
              <w:rPr>
                <w:rFonts w:cstheme="minorHAnsi"/>
                <w:sz w:val="24"/>
                <w:szCs w:val="24"/>
                <w:lang w:val="en-US"/>
              </w:rPr>
            </w:pPr>
            <w:r w:rsidRPr="002F58EA">
              <w:rPr>
                <w:rFonts w:cstheme="minorHAnsi"/>
                <w:sz w:val="24"/>
                <w:szCs w:val="24"/>
                <w:lang w:val="en-US"/>
              </w:rPr>
              <w:t>18 to 66 years</w:t>
            </w:r>
          </w:p>
        </w:tc>
      </w:tr>
      <w:tr w:rsidR="005C0D59" w:rsidRPr="00631F0E" w14:paraId="267F02A4" w14:textId="77777777" w:rsidTr="00E5078C">
        <w:tc>
          <w:tcPr>
            <w:tcW w:w="988" w:type="dxa"/>
          </w:tcPr>
          <w:p w14:paraId="44ACCA4B" w14:textId="65D35F72" w:rsidR="005C0D59" w:rsidRPr="002F58EA" w:rsidRDefault="005C0D59" w:rsidP="005C0D59">
            <w:pPr>
              <w:rPr>
                <w:rFonts w:eastAsia="Times New Roman" w:cstheme="minorHAnsi"/>
                <w:color w:val="000000"/>
                <w:kern w:val="0"/>
                <w:sz w:val="24"/>
                <w:szCs w:val="24"/>
                <w:lang w:val="en-US" w:eastAsia="da-DK"/>
                <w14:ligatures w14:val="none"/>
              </w:rPr>
            </w:pPr>
            <w:r>
              <w:rPr>
                <w:rFonts w:eastAsia="Times New Roman" w:cstheme="minorHAnsi"/>
                <w:color w:val="000000"/>
                <w:kern w:val="0"/>
                <w:sz w:val="24"/>
                <w:szCs w:val="24"/>
                <w:lang w:val="en-US" w:eastAsia="da-DK"/>
                <w14:ligatures w14:val="none"/>
              </w:rPr>
              <w:t>1</w:t>
            </w:r>
          </w:p>
        </w:tc>
        <w:tc>
          <w:tcPr>
            <w:tcW w:w="2976" w:type="dxa"/>
          </w:tcPr>
          <w:p w14:paraId="33D96741" w14:textId="7ADDDBA4" w:rsidR="005C0D59" w:rsidRPr="002F58EA" w:rsidRDefault="005C0D59" w:rsidP="005C0D59">
            <w:pPr>
              <w:rPr>
                <w:rFonts w:eastAsia="Times New Roman" w:cstheme="minorHAnsi"/>
                <w:color w:val="000000"/>
                <w:kern w:val="0"/>
                <w:sz w:val="24"/>
                <w:szCs w:val="24"/>
                <w:lang w:val="en-US" w:eastAsia="da-DK"/>
                <w14:ligatures w14:val="none"/>
              </w:rPr>
            </w:pPr>
            <w:r w:rsidRPr="002F58EA">
              <w:rPr>
                <w:rFonts w:eastAsia="Times New Roman" w:cstheme="minorHAnsi"/>
                <w:color w:val="000000"/>
                <w:kern w:val="0"/>
                <w:sz w:val="24"/>
                <w:szCs w:val="24"/>
                <w:lang w:val="en-US" w:eastAsia="da-DK"/>
                <w14:ligatures w14:val="none"/>
              </w:rPr>
              <w:t>Thrombocytopenia</w:t>
            </w:r>
          </w:p>
        </w:tc>
        <w:tc>
          <w:tcPr>
            <w:tcW w:w="2268" w:type="dxa"/>
          </w:tcPr>
          <w:p w14:paraId="365AF172" w14:textId="0C942151" w:rsidR="005C0D59" w:rsidRPr="002F58EA" w:rsidRDefault="005C0D59" w:rsidP="005C0D59">
            <w:pPr>
              <w:rPr>
                <w:rFonts w:cstheme="minorHAnsi"/>
                <w:sz w:val="24"/>
                <w:szCs w:val="24"/>
                <w:lang w:val="en-US"/>
              </w:rPr>
            </w:pPr>
            <w:r w:rsidRPr="002F58EA">
              <w:rPr>
                <w:rFonts w:cstheme="minorHAnsi"/>
                <w:sz w:val="24"/>
                <w:szCs w:val="24"/>
                <w:lang w:val="en-US"/>
              </w:rPr>
              <w:t>Yes</w:t>
            </w:r>
          </w:p>
        </w:tc>
        <w:tc>
          <w:tcPr>
            <w:tcW w:w="1843" w:type="dxa"/>
          </w:tcPr>
          <w:p w14:paraId="59ED6B2B" w14:textId="29CEC657" w:rsidR="005C0D59" w:rsidRDefault="005C0D59" w:rsidP="005C0D59">
            <w:pPr>
              <w:rPr>
                <w:rFonts w:cstheme="minorHAnsi"/>
                <w:sz w:val="24"/>
                <w:szCs w:val="24"/>
                <w:lang w:val="en-US"/>
              </w:rPr>
            </w:pPr>
            <w:r>
              <w:rPr>
                <w:rFonts w:cstheme="minorHAnsi"/>
                <w:sz w:val="24"/>
                <w:szCs w:val="24"/>
                <w:lang w:val="en-US"/>
              </w:rPr>
              <w:t>Yes</w:t>
            </w:r>
          </w:p>
        </w:tc>
        <w:tc>
          <w:tcPr>
            <w:tcW w:w="3402" w:type="dxa"/>
          </w:tcPr>
          <w:p w14:paraId="043538C7" w14:textId="1C8561BD" w:rsidR="005C0D59" w:rsidRPr="00234B0D" w:rsidRDefault="005C0D59" w:rsidP="005C0D59">
            <w:pPr>
              <w:rPr>
                <w:rFonts w:cstheme="minorHAnsi"/>
                <w:sz w:val="24"/>
                <w:szCs w:val="24"/>
                <w:vertAlign w:val="superscript"/>
                <w:lang w:val="en-US"/>
              </w:rPr>
            </w:pPr>
            <w:r w:rsidRPr="002F58EA">
              <w:rPr>
                <w:rFonts w:cstheme="minorHAnsi"/>
                <w:sz w:val="24"/>
                <w:szCs w:val="24"/>
                <w:lang w:val="en-US"/>
              </w:rPr>
              <w:t>Pharmacovigilance</w:t>
            </w:r>
            <w:r w:rsidRPr="002F58EA">
              <w:rPr>
                <w:rFonts w:cstheme="minorHAnsi"/>
                <w:sz w:val="24"/>
                <w:szCs w:val="24"/>
                <w:lang w:val="en-US"/>
              </w:rPr>
              <w:fldChar w:fldCharType="begin"/>
            </w:r>
            <w:r>
              <w:rPr>
                <w:rFonts w:cstheme="minorHAnsi"/>
                <w:sz w:val="24"/>
                <w:szCs w:val="24"/>
                <w:lang w:val="en-US"/>
              </w:rPr>
              <w:instrText xml:space="preserve"> ADDIN ZOTERO_ITEM CSL_CITATION {"citationID":"npWFPT0i","properties":{"formattedCitation":"[5,6]","plainCitation":"[5,6]","dontUpdate":true,"noteIndex":0},"citationItems":[{"id":720,"uris":["http://zotero.org/users/12610245/items/UT4KCTEA"],"itemData":{"id":720,"type":"article-journal","abstract":"Background\nThe Global COVID Vaccine Safety (GCoVS) Project, established in 2021 under the multinational Global Vaccine Data Network™ (GVDN®), facilitates comprehensive assessment of vaccine safety. This study aimed to evaluate the risk of adverse events of special interest (AESI) following COVID-19 vaccination from 10 sites across eight countries.\nMethods\nUsing a common protocol, this observational cohort study compared observed with expected rates of 13 selected AESI across neurological, haematological, and cardiac outcomes. Expected rates were obtained by participating sites using pre-COVID-19 vaccination healthcare data stratified by age and sex. Observed rates were reported from the same healthcare datasets since COVID-19 vaccination program rollout. AESI occurring up to 42 days following vaccination with mRNA (BNT162b2 and mRNA-1273) and adenovirus-vector (ChAdOx1) vaccines were included in the primary analysis. Risks were assessed using observed versus expected (OE) ratios with 95 % confidence intervals. Prioritised potential safety signals were those with lower bound of the 95 % confidence interval (LBCI) greater than 1.5.\nResults\nParticipants included 99,068,901 vaccinated individuals. In total, 183,559,462 doses of BNT162b2, 36,178,442 doses of mRNA-1273, and 23,093,399 doses of ChAdOx1 were administered across participating sites in the study period. Risk periods following homologous vaccination schedules contributed 23,168,335 person-years of follow-up. OE ratios with LBCI &gt; 1.5 were observed for Guillain-Barré syndrome (2.49, 95 % CI: 2.15, 2.87) and cerebral venous sinus thrombosis (3.23, 95 % CI: 2.51, 4.09) following the first dose of ChAdOx1 vaccine. Acute disseminated encephalomyelitis showed an OE ratio of 3.78 (95 % CI: 1.52, 7.78) following the first dose of mRNA-1273 vaccine. The OE ratios for myocarditis and pericarditis following BNT162b2, mRNA-1273, and ChAdOx1 were significantly increased with LBCIs &gt; 1.5.\nConclusion\nThis multi-country analysis confirmed pre-established safety signals for myocarditis, pericarditis, Guillain-Barré syndrome, and cerebral venous sinus thrombosis. Other potential safety signals that require further investigation were identified.","container-title":"Vaccine","DOI":"10.1016/j.vaccine.2024.01.100","ISSN":"0264-410X","issue":"9","journalAbbreviation":"Vaccine","page":"2200-2211","source":"ScienceDirect","title":"COVID-19 vaccines and adverse events of special interest: A multinational Global Vaccine Data Network (GVDN) cohort study of 99 million vaccinated individuals","title-short":"COVID-19 vaccines and adverse events of special interest","volume":"42","author":[{"family":"Faksova","given":"K."},{"family":"Walsh","given":"D."},{"family":"Jiang","given":"Y."},{"family":"Griffin","given":"J."},{"family":"Phillips","given":"A."},{"family":"Gentile","given":"A."},{"family":"Kwong","given":"J. C."},{"family":"Macartney","given":"K."},{"family":"Naus","given":"M."},{"family":"Grange","given":"Z."},{"family":"Escolano","given":"S."},{"family":"Sepulveda","given":"G."},{"family":"Shetty","given":"A."},{"family":"Pillsbury","given":"A."},{"family":"Sullivan","given":"C."},{"family":"Naveed","given":"Z."},{"family":"Janjua","given":"N. Z."},{"family":"Giglio","given":"N."},{"family":"Perälä","given":"J."},{"family":"Nasreen","given":"S."},{"family":"Gidding","given":"H."},{"family":"Hovi","given":"P."},{"family":"Vo","given":"T."},{"family":"Cui","given":"F."},{"family":"Deng","given":"L."},{"family":"Cullen","given":"L."},{"family":"Artama","given":"M."},{"family":"Lu","given":"H."},{"family":"Clothier","given":"H. J."},{"family":"Batty","given":"K."},{"family":"Paynter","given":"J."},{"family":"Petousis-Harris","given":"H."},{"family":"Buttery","given":"J."},{"family":"Black","given":"S."},{"family":"Hviid","given":"A."}],"issued":{"date-parts":[["2024",4,2]]}}},{"id":918,"uris":["http://zotero.org/users/12610245/items/DEWH6J2R"],"itemData":{"id":918,"type":"article-journal","abstract":"Coronavirus disease 2019 (COVID-19) is associated with a prothrombotic phenotype characterised by coagulopathy and endothelial dysfunction [1–4]. Following some cases of thrombosis after vaccination, the Oxford–AstraZeneca COVID-19 vaccine (AZD1222) was temporarily suspended by some European countries. The European Medicines Agency concluded that the benefits of the vaccine in combating the COVID-19 outbreak continue to outweigh the risk of side-effects. On 19 March, 2021, Germany reported 13 cases of sinus or cerebral vein thrombosis, with more than 1.6 million AstraZeneca COVID-19 vaccine doses administered. Some of these patients also had a heparin-induced thrombocytopenia (HIT)-like syndrome, which suggests an immunological event as one of the potential origins of thrombosis., This study observed an imbalance between venous and arterial thrombotic events in mRNA vaccines while with AZ1222 they are evenly shared. Our analysis highlights cerebral vein thrombosis with the three vaccines.\nhttps://bit.ly/3mZqguE","container-title":"The European Respiratory Journal","DOI":"10.1183/13993003.00956-2021","ISSN":"0903-1936","issue":"1","journalAbbreviation":"Eur Respir J","note":"PMID: 33863748\nPMCID: PMC8051185","page":"2100956","source":"PubMed Central","title":"Vaccination against COVID-19: insight from arterial and venous thrombosis occurrence using data from VigiBase","title-short":"Vaccination against COVID-19","volume":"58","author":[{"family":"Smadja","given":"David M."},{"family":"Yue","given":"Qun-Ying"},{"family":"Chocron","given":"Richard"},{"family":"Sanchez","given":"Olivier"},{"family":"Lillo-Le Louet","given":"Agnes"}],"issued":{"date-parts":[["2021",7,1]]}}}],"schema":"https://github.com/citation-style-language/schema/raw/master/csl-citation.json"} </w:instrText>
            </w:r>
            <w:r w:rsidRPr="002F58EA">
              <w:rPr>
                <w:rFonts w:cstheme="minorHAnsi"/>
                <w:sz w:val="24"/>
                <w:szCs w:val="24"/>
                <w:lang w:val="en-US"/>
              </w:rPr>
              <w:fldChar w:fldCharType="separate"/>
            </w:r>
            <w:r w:rsidRPr="00692E86">
              <w:rPr>
                <w:rFonts w:cstheme="minorHAnsi"/>
                <w:sz w:val="24"/>
                <w:szCs w:val="24"/>
                <w:lang w:val="en-US"/>
              </w:rPr>
              <w:t>[5]</w:t>
            </w:r>
            <w:r w:rsidRPr="002F58EA">
              <w:rPr>
                <w:rFonts w:cstheme="minorHAnsi"/>
                <w:sz w:val="24"/>
                <w:szCs w:val="24"/>
                <w:lang w:val="en-US"/>
              </w:rPr>
              <w:fldChar w:fldCharType="end"/>
            </w:r>
          </w:p>
        </w:tc>
        <w:tc>
          <w:tcPr>
            <w:tcW w:w="2410" w:type="dxa"/>
          </w:tcPr>
          <w:p w14:paraId="08CFC9D7" w14:textId="79198017" w:rsidR="005C0D59" w:rsidRPr="002F58EA" w:rsidRDefault="005C0D59" w:rsidP="005C0D59">
            <w:pPr>
              <w:rPr>
                <w:rFonts w:cstheme="minorHAnsi"/>
                <w:sz w:val="24"/>
                <w:szCs w:val="24"/>
                <w:lang w:val="en-US"/>
              </w:rPr>
            </w:pPr>
            <w:r w:rsidRPr="002F58EA">
              <w:rPr>
                <w:rFonts w:cstheme="minorHAnsi"/>
                <w:sz w:val="24"/>
                <w:szCs w:val="24"/>
                <w:lang w:val="en-US"/>
              </w:rPr>
              <w:t>0 to 80+ years</w:t>
            </w:r>
          </w:p>
        </w:tc>
      </w:tr>
    </w:tbl>
    <w:p w14:paraId="54052DA5" w14:textId="39BC4777" w:rsidR="00D77366" w:rsidRDefault="0096654A" w:rsidP="009B3C21">
      <w:pPr>
        <w:spacing w:after="0" w:line="240" w:lineRule="auto"/>
        <w:rPr>
          <w:lang w:val="en-US"/>
        </w:rPr>
      </w:pPr>
      <w:r w:rsidRPr="00FA48BA">
        <w:rPr>
          <w:vertAlign w:val="superscript"/>
          <w:lang w:val="en-US"/>
        </w:rPr>
        <w:t>¤</w:t>
      </w:r>
      <w:r>
        <w:rPr>
          <w:lang w:val="en-US"/>
        </w:rPr>
        <w:t xml:space="preserve">Pharmacovigilance </w:t>
      </w:r>
      <w:r w:rsidR="00BE638C">
        <w:rPr>
          <w:lang w:val="en-US"/>
        </w:rPr>
        <w:t xml:space="preserve">covers </w:t>
      </w:r>
      <w:r w:rsidR="00621EAE">
        <w:rPr>
          <w:lang w:val="en-US"/>
        </w:rPr>
        <w:t xml:space="preserve">data from </w:t>
      </w:r>
      <w:r w:rsidR="00B201BA">
        <w:rPr>
          <w:lang w:val="en-US"/>
        </w:rPr>
        <w:t xml:space="preserve">various adverse event reporting systems and </w:t>
      </w:r>
      <w:r w:rsidR="00124F52">
        <w:rPr>
          <w:lang w:val="en-US"/>
        </w:rPr>
        <w:t>health registers</w:t>
      </w:r>
      <w:r w:rsidR="0052320C">
        <w:rPr>
          <w:lang w:val="en-US"/>
        </w:rPr>
        <w:t>, both active and passive surveillance</w:t>
      </w:r>
      <w:r w:rsidR="00124F52">
        <w:rPr>
          <w:lang w:val="en-US"/>
        </w:rPr>
        <w:t>.</w:t>
      </w:r>
    </w:p>
    <w:p w14:paraId="37032E25" w14:textId="36AE7E95" w:rsidR="004517A2" w:rsidRDefault="00426ABF" w:rsidP="009B3C21">
      <w:pPr>
        <w:spacing w:after="0" w:line="240" w:lineRule="auto"/>
        <w:rPr>
          <w:lang w:val="en-US"/>
        </w:rPr>
      </w:pPr>
      <w:r w:rsidRPr="00FA48BA">
        <w:rPr>
          <w:vertAlign w:val="superscript"/>
          <w:lang w:val="en-US"/>
        </w:rPr>
        <w:t>#</w:t>
      </w:r>
      <w:r w:rsidR="00ED3428">
        <w:rPr>
          <w:lang w:val="en-US"/>
        </w:rPr>
        <w:t>For reference number 5 (</w:t>
      </w:r>
      <w:proofErr w:type="spellStart"/>
      <w:r w:rsidR="00ED3428">
        <w:rPr>
          <w:lang w:val="en-US"/>
        </w:rPr>
        <w:t>Faksova</w:t>
      </w:r>
      <w:proofErr w:type="spellEnd"/>
      <w:r w:rsidR="00A10233">
        <w:rPr>
          <w:lang w:val="en-US"/>
        </w:rPr>
        <w:t xml:space="preserve"> et al</w:t>
      </w:r>
      <w:r w:rsidR="00ED3428">
        <w:rPr>
          <w:lang w:val="en-US"/>
        </w:rPr>
        <w:t xml:space="preserve">) </w:t>
      </w:r>
      <w:r w:rsidR="00C1739F">
        <w:rPr>
          <w:lang w:val="en-US"/>
        </w:rPr>
        <w:t xml:space="preserve">this is the </w:t>
      </w:r>
      <w:r>
        <w:rPr>
          <w:lang w:val="en-US"/>
        </w:rPr>
        <w:t xml:space="preserve">age of investigated population, </w:t>
      </w:r>
      <w:r w:rsidR="00C1739F">
        <w:rPr>
          <w:lang w:val="en-US"/>
        </w:rPr>
        <w:t xml:space="preserve">but </w:t>
      </w:r>
      <w:r w:rsidR="007F7371">
        <w:rPr>
          <w:lang w:val="en-US"/>
        </w:rPr>
        <w:t xml:space="preserve">age of cases with the specified disease not </w:t>
      </w:r>
      <w:r w:rsidR="00C1739F">
        <w:rPr>
          <w:lang w:val="en-US"/>
        </w:rPr>
        <w:t>provided in article</w:t>
      </w:r>
      <w:r w:rsidR="00ED3428">
        <w:rPr>
          <w:lang w:val="en-US"/>
        </w:rPr>
        <w:t>.</w:t>
      </w:r>
    </w:p>
    <w:p w14:paraId="2DFE70DA" w14:textId="197D421A" w:rsidR="00363623" w:rsidRDefault="00363623" w:rsidP="009B3C21">
      <w:pPr>
        <w:spacing w:after="0" w:line="240" w:lineRule="auto"/>
        <w:rPr>
          <w:lang w:val="en-US"/>
        </w:rPr>
      </w:pPr>
    </w:p>
    <w:p w14:paraId="14E3A491" w14:textId="77777777" w:rsidR="005D6E06" w:rsidRPr="00567ED1" w:rsidRDefault="005D6E06" w:rsidP="00D266E9">
      <w:pPr>
        <w:rPr>
          <w:lang w:val="en-US"/>
        </w:rPr>
      </w:pPr>
    </w:p>
    <w:p w14:paraId="3E339553" w14:textId="2719F321" w:rsidR="00363623" w:rsidRDefault="00363623" w:rsidP="00D266E9">
      <w:pPr>
        <w:rPr>
          <w:lang w:val="en-US"/>
        </w:rPr>
      </w:pPr>
      <w:r>
        <w:rPr>
          <w:lang w:val="en-US"/>
        </w:rPr>
        <w:t>References</w:t>
      </w:r>
    </w:p>
    <w:p w14:paraId="2A26D097" w14:textId="77777777" w:rsidR="009B1D0B" w:rsidRPr="00D944CD" w:rsidRDefault="00363623" w:rsidP="009B1D0B">
      <w:pPr>
        <w:pStyle w:val="Bibliography"/>
        <w:rPr>
          <w:rFonts w:ascii="Calibri" w:hAnsi="Calibri" w:cs="Calibri"/>
          <w:lang w:val="en-US"/>
        </w:rPr>
      </w:pPr>
      <w:r>
        <w:rPr>
          <w:lang w:val="en-US"/>
        </w:rPr>
        <w:fldChar w:fldCharType="begin"/>
      </w:r>
      <w:r w:rsidR="009B1D0B">
        <w:rPr>
          <w:lang w:val="en-US"/>
        </w:rPr>
        <w:instrText xml:space="preserve"> ADDIN ZOTERO_BIBL {"uncited":[],"omitted":[],"custom":[]} CSL_BIBLIOGRAPHY </w:instrText>
      </w:r>
      <w:r>
        <w:rPr>
          <w:lang w:val="en-US"/>
        </w:rPr>
        <w:fldChar w:fldCharType="separate"/>
      </w:r>
      <w:r w:rsidR="009B1D0B" w:rsidRPr="00D944CD">
        <w:rPr>
          <w:rFonts w:ascii="Calibri" w:hAnsi="Calibri" w:cs="Calibri"/>
          <w:lang w:val="en-US"/>
        </w:rPr>
        <w:t xml:space="preserve">1. </w:t>
      </w:r>
      <w:r w:rsidR="009B1D0B" w:rsidRPr="00D944CD">
        <w:rPr>
          <w:rFonts w:ascii="Calibri" w:hAnsi="Calibri" w:cs="Calibri"/>
          <w:lang w:val="en-US"/>
        </w:rPr>
        <w:tab/>
        <w:t xml:space="preserve">Hwang HS, Lee H, Yoon S-Y, et al. Global burden of vaccine-associated kidney injury using an international pharmacovigilance database. Sci Rep. </w:t>
      </w:r>
      <w:r w:rsidR="009B1D0B" w:rsidRPr="00D944CD">
        <w:rPr>
          <w:rFonts w:ascii="Calibri" w:hAnsi="Calibri" w:cs="Calibri"/>
          <w:b/>
          <w:bCs/>
          <w:lang w:val="en-US"/>
        </w:rPr>
        <w:t>2025</w:t>
      </w:r>
      <w:r w:rsidR="009B1D0B" w:rsidRPr="00D944CD">
        <w:rPr>
          <w:rFonts w:ascii="Calibri" w:hAnsi="Calibri" w:cs="Calibri"/>
          <w:lang w:val="en-US"/>
        </w:rPr>
        <w:t xml:space="preserve">; 15(1):5177. </w:t>
      </w:r>
    </w:p>
    <w:p w14:paraId="2E1D096C" w14:textId="77777777" w:rsidR="009B1D0B" w:rsidRPr="00D944CD" w:rsidRDefault="009B1D0B" w:rsidP="009B1D0B">
      <w:pPr>
        <w:pStyle w:val="Bibliography"/>
        <w:rPr>
          <w:rFonts w:ascii="Calibri" w:hAnsi="Calibri" w:cs="Calibri"/>
          <w:lang w:val="en-US"/>
        </w:rPr>
      </w:pPr>
      <w:r w:rsidRPr="00D944CD">
        <w:rPr>
          <w:rFonts w:ascii="Calibri" w:hAnsi="Calibri" w:cs="Calibri"/>
          <w:lang w:val="en-US"/>
        </w:rPr>
        <w:t xml:space="preserve">2. </w:t>
      </w:r>
      <w:r w:rsidRPr="00D944CD">
        <w:rPr>
          <w:rFonts w:ascii="Calibri" w:hAnsi="Calibri" w:cs="Calibri"/>
          <w:lang w:val="en-US"/>
        </w:rPr>
        <w:tab/>
        <w:t xml:space="preserve">Wang Y, Yang L, Xu G. New-Onset Acute Interstitial Nephritis Post-SARS-CoV-2 Infection and COVID-19 Vaccination: A Panoramic Review. J Epidemiol Glob Health. </w:t>
      </w:r>
      <w:r w:rsidRPr="00D944CD">
        <w:rPr>
          <w:rFonts w:ascii="Calibri" w:hAnsi="Calibri" w:cs="Calibri"/>
          <w:b/>
          <w:bCs/>
          <w:lang w:val="en-US"/>
        </w:rPr>
        <w:t>2023</w:t>
      </w:r>
      <w:r w:rsidRPr="00D944CD">
        <w:rPr>
          <w:rFonts w:ascii="Calibri" w:hAnsi="Calibri" w:cs="Calibri"/>
          <w:lang w:val="en-US"/>
        </w:rPr>
        <w:t xml:space="preserve">; 13(4):615–636. </w:t>
      </w:r>
    </w:p>
    <w:p w14:paraId="2AFF4289" w14:textId="77777777" w:rsidR="009B1D0B" w:rsidRPr="00D944CD" w:rsidRDefault="009B1D0B" w:rsidP="009B1D0B">
      <w:pPr>
        <w:pStyle w:val="Bibliography"/>
        <w:rPr>
          <w:rFonts w:ascii="Calibri" w:hAnsi="Calibri" w:cs="Calibri"/>
          <w:lang w:val="en-US"/>
        </w:rPr>
      </w:pPr>
      <w:r w:rsidRPr="00D944CD">
        <w:rPr>
          <w:rFonts w:ascii="Calibri" w:hAnsi="Calibri" w:cs="Calibri"/>
          <w:lang w:val="en-US"/>
        </w:rPr>
        <w:t xml:space="preserve">3. </w:t>
      </w:r>
      <w:r w:rsidRPr="00D944CD">
        <w:rPr>
          <w:rFonts w:ascii="Calibri" w:hAnsi="Calibri" w:cs="Calibri"/>
          <w:lang w:val="en-US"/>
        </w:rPr>
        <w:tab/>
        <w:t xml:space="preserve">Lim J, Paek JH, Shin HC, et al. Acute interstitial nephritis with acute kidney injury after COVID-19 vaccination: a case report. Clin Exp Vaccine Res. </w:t>
      </w:r>
      <w:r w:rsidRPr="00D944CD">
        <w:rPr>
          <w:rFonts w:ascii="Calibri" w:hAnsi="Calibri" w:cs="Calibri"/>
          <w:b/>
          <w:bCs/>
          <w:lang w:val="en-US"/>
        </w:rPr>
        <w:t>2024</w:t>
      </w:r>
      <w:r w:rsidRPr="00D944CD">
        <w:rPr>
          <w:rFonts w:ascii="Calibri" w:hAnsi="Calibri" w:cs="Calibri"/>
          <w:lang w:val="en-US"/>
        </w:rPr>
        <w:t xml:space="preserve">; 13(1):68–71. </w:t>
      </w:r>
    </w:p>
    <w:p w14:paraId="1DA8547E" w14:textId="77777777" w:rsidR="009B1D0B" w:rsidRPr="00D944CD" w:rsidRDefault="009B1D0B" w:rsidP="009B1D0B">
      <w:pPr>
        <w:pStyle w:val="Bibliography"/>
        <w:rPr>
          <w:rFonts w:ascii="Calibri" w:hAnsi="Calibri" w:cs="Calibri"/>
          <w:lang w:val="en-US"/>
        </w:rPr>
      </w:pPr>
      <w:r w:rsidRPr="00E5078C">
        <w:rPr>
          <w:rFonts w:ascii="Calibri" w:hAnsi="Calibri" w:cs="Calibri"/>
          <w:lang w:val="en-US"/>
        </w:rPr>
        <w:t xml:space="preserve">4. </w:t>
      </w:r>
      <w:r w:rsidRPr="00E5078C">
        <w:rPr>
          <w:rFonts w:ascii="Calibri" w:hAnsi="Calibri" w:cs="Calibri"/>
          <w:lang w:val="en-US"/>
        </w:rPr>
        <w:tab/>
        <w:t xml:space="preserve">Nakazawa E, Uchimura T, Hirai Y, et al. </w:t>
      </w:r>
      <w:r w:rsidRPr="00D944CD">
        <w:rPr>
          <w:rFonts w:ascii="Calibri" w:hAnsi="Calibri" w:cs="Calibri"/>
          <w:lang w:val="en-US"/>
        </w:rPr>
        <w:t xml:space="preserve">New-onset pediatric nephrotic syndrome following Pfizer-BioNTech SARS-CoV-2 vaccination: a case report and literature review. CEN Case Rep. </w:t>
      </w:r>
      <w:r w:rsidRPr="00D944CD">
        <w:rPr>
          <w:rFonts w:ascii="Calibri" w:hAnsi="Calibri" w:cs="Calibri"/>
          <w:b/>
          <w:bCs/>
          <w:lang w:val="en-US"/>
        </w:rPr>
        <w:t>2022</w:t>
      </w:r>
      <w:r w:rsidRPr="00D944CD">
        <w:rPr>
          <w:rFonts w:ascii="Calibri" w:hAnsi="Calibri" w:cs="Calibri"/>
          <w:lang w:val="en-US"/>
        </w:rPr>
        <w:t xml:space="preserve">; 11(2):242–246. </w:t>
      </w:r>
    </w:p>
    <w:p w14:paraId="5DBE2DA1" w14:textId="77777777" w:rsidR="009B1D0B" w:rsidRPr="00D944CD" w:rsidRDefault="009B1D0B" w:rsidP="009B1D0B">
      <w:pPr>
        <w:pStyle w:val="Bibliography"/>
        <w:rPr>
          <w:rFonts w:ascii="Calibri" w:hAnsi="Calibri" w:cs="Calibri"/>
          <w:lang w:val="en-US"/>
        </w:rPr>
      </w:pPr>
      <w:r w:rsidRPr="00D944CD">
        <w:rPr>
          <w:rFonts w:ascii="Calibri" w:hAnsi="Calibri" w:cs="Calibri"/>
          <w:lang w:val="en-US"/>
        </w:rPr>
        <w:t xml:space="preserve">5. </w:t>
      </w:r>
      <w:r w:rsidRPr="00D944CD">
        <w:rPr>
          <w:rFonts w:ascii="Calibri" w:hAnsi="Calibri" w:cs="Calibri"/>
          <w:lang w:val="en-US"/>
        </w:rPr>
        <w:tab/>
        <w:t xml:space="preserve">Faksova K, Walsh D, Jiang Y, et al. COVID-19 vaccines and adverse events of special interest: A multinational Global Vaccine Data Network (GVDN) cohort study of 99 million vaccinated individuals. Vaccine. </w:t>
      </w:r>
      <w:r w:rsidRPr="00D944CD">
        <w:rPr>
          <w:rFonts w:ascii="Calibri" w:hAnsi="Calibri" w:cs="Calibri"/>
          <w:b/>
          <w:bCs/>
          <w:lang w:val="en-US"/>
        </w:rPr>
        <w:t>2024</w:t>
      </w:r>
      <w:r w:rsidRPr="00D944CD">
        <w:rPr>
          <w:rFonts w:ascii="Calibri" w:hAnsi="Calibri" w:cs="Calibri"/>
          <w:lang w:val="en-US"/>
        </w:rPr>
        <w:t xml:space="preserve">; 42(9):2200–2211. </w:t>
      </w:r>
    </w:p>
    <w:p w14:paraId="63E95ABE" w14:textId="77777777" w:rsidR="009B1D0B" w:rsidRPr="009B1D0B" w:rsidRDefault="009B1D0B" w:rsidP="009B1D0B">
      <w:pPr>
        <w:pStyle w:val="Bibliography"/>
        <w:rPr>
          <w:rFonts w:ascii="Calibri" w:hAnsi="Calibri" w:cs="Calibri"/>
        </w:rPr>
      </w:pPr>
      <w:r w:rsidRPr="00D944CD">
        <w:rPr>
          <w:rFonts w:ascii="Calibri" w:hAnsi="Calibri" w:cs="Calibri"/>
          <w:lang w:val="en-US"/>
        </w:rPr>
        <w:t xml:space="preserve">6. </w:t>
      </w:r>
      <w:r w:rsidRPr="00D944CD">
        <w:rPr>
          <w:rFonts w:ascii="Calibri" w:hAnsi="Calibri" w:cs="Calibri"/>
          <w:lang w:val="en-US"/>
        </w:rPr>
        <w:tab/>
        <w:t xml:space="preserve">Smadja DM, Yue Q-Y, Chocron R, Sanchez O, Lillo-Le Louet A. Vaccination against COVID-19: insight from arterial and venous thrombosis occurrence using data from VigiBase. </w:t>
      </w:r>
      <w:r w:rsidRPr="009B1D0B">
        <w:rPr>
          <w:rFonts w:ascii="Calibri" w:hAnsi="Calibri" w:cs="Calibri"/>
        </w:rPr>
        <w:t xml:space="preserve">Eur Respir J. </w:t>
      </w:r>
      <w:r w:rsidRPr="009B1D0B">
        <w:rPr>
          <w:rFonts w:ascii="Calibri" w:hAnsi="Calibri" w:cs="Calibri"/>
          <w:b/>
          <w:bCs/>
        </w:rPr>
        <w:t>2021</w:t>
      </w:r>
      <w:r w:rsidRPr="009B1D0B">
        <w:rPr>
          <w:rFonts w:ascii="Calibri" w:hAnsi="Calibri" w:cs="Calibri"/>
        </w:rPr>
        <w:t xml:space="preserve">; 58(1):2100956. </w:t>
      </w:r>
    </w:p>
    <w:p w14:paraId="0A4B2263" w14:textId="77777777" w:rsidR="009B1D0B" w:rsidRPr="00D944CD" w:rsidRDefault="009B1D0B" w:rsidP="009B1D0B">
      <w:pPr>
        <w:pStyle w:val="Bibliography"/>
        <w:rPr>
          <w:rFonts w:ascii="Calibri" w:hAnsi="Calibri" w:cs="Calibri"/>
          <w:lang w:val="en-US"/>
        </w:rPr>
      </w:pPr>
      <w:r w:rsidRPr="009B1D0B">
        <w:rPr>
          <w:rFonts w:ascii="Calibri" w:hAnsi="Calibri" w:cs="Calibri"/>
        </w:rPr>
        <w:t xml:space="preserve">7. </w:t>
      </w:r>
      <w:r w:rsidRPr="009B1D0B">
        <w:rPr>
          <w:rFonts w:ascii="Calibri" w:hAnsi="Calibri" w:cs="Calibri"/>
        </w:rPr>
        <w:tab/>
        <w:t xml:space="preserve">Lee E, Cines DB, Gernsheimer T, et al. </w:t>
      </w:r>
      <w:r w:rsidRPr="00D944CD">
        <w:rPr>
          <w:rFonts w:ascii="Calibri" w:hAnsi="Calibri" w:cs="Calibri"/>
          <w:lang w:val="en-US"/>
        </w:rPr>
        <w:t xml:space="preserve">Thrombocytopenia following Pfizer and Moderna SARS‐CoV‐2 vaccination. Am J Hematol. </w:t>
      </w:r>
      <w:r w:rsidRPr="00D944CD">
        <w:rPr>
          <w:rFonts w:ascii="Calibri" w:hAnsi="Calibri" w:cs="Calibri"/>
          <w:b/>
          <w:bCs/>
          <w:lang w:val="en-US"/>
        </w:rPr>
        <w:t>2021</w:t>
      </w:r>
      <w:r w:rsidRPr="00D944CD">
        <w:rPr>
          <w:rFonts w:ascii="Calibri" w:hAnsi="Calibri" w:cs="Calibri"/>
          <w:lang w:val="en-US"/>
        </w:rPr>
        <w:t xml:space="preserve">; 96(5):534–537. </w:t>
      </w:r>
    </w:p>
    <w:p w14:paraId="7F72F100" w14:textId="77777777" w:rsidR="009B1D0B" w:rsidRPr="00D944CD" w:rsidRDefault="009B1D0B" w:rsidP="009B1D0B">
      <w:pPr>
        <w:pStyle w:val="Bibliography"/>
        <w:rPr>
          <w:rFonts w:ascii="Calibri" w:hAnsi="Calibri" w:cs="Calibri"/>
          <w:lang w:val="en-US"/>
        </w:rPr>
      </w:pPr>
      <w:r w:rsidRPr="00D944CD">
        <w:rPr>
          <w:rFonts w:ascii="Calibri" w:hAnsi="Calibri" w:cs="Calibri"/>
          <w:lang w:val="en-US"/>
        </w:rPr>
        <w:lastRenderedPageBreak/>
        <w:t xml:space="preserve">8. </w:t>
      </w:r>
      <w:r w:rsidRPr="00D944CD">
        <w:rPr>
          <w:rFonts w:ascii="Calibri" w:hAnsi="Calibri" w:cs="Calibri"/>
          <w:lang w:val="en-US"/>
        </w:rPr>
        <w:tab/>
        <w:t xml:space="preserve">Abdelhady M, Husain MA, Hawas Y, et al. Encephalitis following COVID-19 Vaccination: A Systematic Review. Vaccines. </w:t>
      </w:r>
      <w:r w:rsidRPr="00D944CD">
        <w:rPr>
          <w:rFonts w:ascii="Calibri" w:hAnsi="Calibri" w:cs="Calibri"/>
          <w:b/>
          <w:bCs/>
          <w:lang w:val="en-US"/>
        </w:rPr>
        <w:t>2023</w:t>
      </w:r>
      <w:r w:rsidRPr="00D944CD">
        <w:rPr>
          <w:rFonts w:ascii="Calibri" w:hAnsi="Calibri" w:cs="Calibri"/>
          <w:lang w:val="en-US"/>
        </w:rPr>
        <w:t xml:space="preserve">; 11(3):576. </w:t>
      </w:r>
    </w:p>
    <w:p w14:paraId="77948050" w14:textId="77777777" w:rsidR="009B1D0B" w:rsidRPr="00D944CD" w:rsidRDefault="009B1D0B" w:rsidP="009B1D0B">
      <w:pPr>
        <w:pStyle w:val="Bibliography"/>
        <w:rPr>
          <w:rFonts w:ascii="Calibri" w:hAnsi="Calibri" w:cs="Calibri"/>
          <w:lang w:val="en-US"/>
        </w:rPr>
      </w:pPr>
      <w:r w:rsidRPr="00D944CD">
        <w:rPr>
          <w:rFonts w:ascii="Calibri" w:hAnsi="Calibri" w:cs="Calibri"/>
          <w:lang w:val="en-US"/>
        </w:rPr>
        <w:t xml:space="preserve">9. </w:t>
      </w:r>
      <w:r w:rsidRPr="00D944CD">
        <w:rPr>
          <w:rFonts w:ascii="Calibri" w:hAnsi="Calibri" w:cs="Calibri"/>
          <w:lang w:val="en-US"/>
        </w:rPr>
        <w:tab/>
        <w:t xml:space="preserve">Lin R-T, Liu P-K, Chang C-W, Cheng K-C, Chen K-J, Chang Y-C. Behcet’s disease-related panuveitis following COVID-19 vaccination: A case report. World J Radiol. </w:t>
      </w:r>
      <w:r w:rsidRPr="00D944CD">
        <w:rPr>
          <w:rFonts w:ascii="Calibri" w:hAnsi="Calibri" w:cs="Calibri"/>
          <w:b/>
          <w:bCs/>
          <w:lang w:val="en-US"/>
        </w:rPr>
        <w:t>2024</w:t>
      </w:r>
      <w:r w:rsidRPr="00D944CD">
        <w:rPr>
          <w:rFonts w:ascii="Calibri" w:hAnsi="Calibri" w:cs="Calibri"/>
          <w:lang w:val="en-US"/>
        </w:rPr>
        <w:t xml:space="preserve">; 16(9):460–465. </w:t>
      </w:r>
    </w:p>
    <w:p w14:paraId="170B6BE2" w14:textId="77777777" w:rsidR="009B1D0B" w:rsidRPr="00D944CD" w:rsidRDefault="009B1D0B" w:rsidP="009B1D0B">
      <w:pPr>
        <w:pStyle w:val="Bibliography"/>
        <w:rPr>
          <w:rFonts w:ascii="Calibri" w:hAnsi="Calibri" w:cs="Calibri"/>
          <w:lang w:val="en-US"/>
        </w:rPr>
      </w:pPr>
      <w:r w:rsidRPr="00D944CD">
        <w:rPr>
          <w:rFonts w:ascii="Calibri" w:hAnsi="Calibri" w:cs="Calibri"/>
          <w:lang w:val="en-US"/>
        </w:rPr>
        <w:t xml:space="preserve">10. </w:t>
      </w:r>
      <w:r w:rsidRPr="00D944CD">
        <w:rPr>
          <w:rFonts w:ascii="Calibri" w:hAnsi="Calibri" w:cs="Calibri"/>
          <w:lang w:val="en-US"/>
        </w:rPr>
        <w:tab/>
        <w:t xml:space="preserve">LORENTZEN KL, BYGUM A. COVID-19 Vaccination-related Complex Regional Pain Syndrome Masquerading as Erythromelalgia: A Case Report. Acta Derm Venereol. </w:t>
      </w:r>
      <w:r w:rsidRPr="00D944CD">
        <w:rPr>
          <w:rFonts w:ascii="Calibri" w:hAnsi="Calibri" w:cs="Calibri"/>
          <w:b/>
          <w:bCs/>
          <w:lang w:val="en-US"/>
        </w:rPr>
        <w:t>2023</w:t>
      </w:r>
      <w:r w:rsidRPr="00D944CD">
        <w:rPr>
          <w:rFonts w:ascii="Calibri" w:hAnsi="Calibri" w:cs="Calibri"/>
          <w:lang w:val="en-US"/>
        </w:rPr>
        <w:t xml:space="preserve">; 103:13400. </w:t>
      </w:r>
    </w:p>
    <w:p w14:paraId="2C368974" w14:textId="77777777" w:rsidR="009B1D0B" w:rsidRPr="00D944CD" w:rsidRDefault="009B1D0B" w:rsidP="009B1D0B">
      <w:pPr>
        <w:pStyle w:val="Bibliography"/>
        <w:rPr>
          <w:rFonts w:ascii="Calibri" w:hAnsi="Calibri" w:cs="Calibri"/>
          <w:lang w:val="en-US"/>
        </w:rPr>
      </w:pPr>
      <w:r w:rsidRPr="00D944CD">
        <w:rPr>
          <w:rFonts w:ascii="Calibri" w:hAnsi="Calibri" w:cs="Calibri"/>
          <w:lang w:val="en-US"/>
        </w:rPr>
        <w:t xml:space="preserve">11. </w:t>
      </w:r>
      <w:r w:rsidRPr="00D944CD">
        <w:rPr>
          <w:rFonts w:ascii="Calibri" w:hAnsi="Calibri" w:cs="Calibri"/>
          <w:lang w:val="en-US"/>
        </w:rPr>
        <w:tab/>
        <w:t xml:space="preserve">Horisawa S, Ando T, Kawamata T, Taira T. Complex regional pain syndrome after mRNA-based COVID-19 vaccination. Clin Neurol Neurosurg. </w:t>
      </w:r>
      <w:r w:rsidRPr="00D944CD">
        <w:rPr>
          <w:rFonts w:ascii="Calibri" w:hAnsi="Calibri" w:cs="Calibri"/>
          <w:b/>
          <w:bCs/>
          <w:lang w:val="en-US"/>
        </w:rPr>
        <w:t>2023</w:t>
      </w:r>
      <w:r w:rsidRPr="00D944CD">
        <w:rPr>
          <w:rFonts w:ascii="Calibri" w:hAnsi="Calibri" w:cs="Calibri"/>
          <w:lang w:val="en-US"/>
        </w:rPr>
        <w:t xml:space="preserve">; 224:107578. </w:t>
      </w:r>
    </w:p>
    <w:p w14:paraId="43440480" w14:textId="77777777" w:rsidR="009B1D0B" w:rsidRPr="00D944CD" w:rsidRDefault="009B1D0B" w:rsidP="009B1D0B">
      <w:pPr>
        <w:pStyle w:val="Bibliography"/>
        <w:rPr>
          <w:rFonts w:ascii="Calibri" w:hAnsi="Calibri" w:cs="Calibri"/>
          <w:lang w:val="en-US"/>
        </w:rPr>
      </w:pPr>
      <w:r w:rsidRPr="00D944CD">
        <w:rPr>
          <w:rFonts w:ascii="Calibri" w:hAnsi="Calibri" w:cs="Calibri"/>
          <w:lang w:val="en-US"/>
        </w:rPr>
        <w:t xml:space="preserve">12. </w:t>
      </w:r>
      <w:r w:rsidRPr="00D944CD">
        <w:rPr>
          <w:rFonts w:ascii="Calibri" w:hAnsi="Calibri" w:cs="Calibri"/>
          <w:lang w:val="en-US"/>
        </w:rPr>
        <w:tab/>
        <w:t xml:space="preserve">Bhatia U, Aggarwal N, Barjuca R, Halalau A. Type 1 Diabetes Mellitus Caused by COVID-19 mRNA Vaccination: A Case Report and Literature Review of 17 Published Cases. AACE Clin Case Rep. </w:t>
      </w:r>
      <w:r w:rsidRPr="00D944CD">
        <w:rPr>
          <w:rFonts w:ascii="Calibri" w:hAnsi="Calibri" w:cs="Calibri"/>
          <w:b/>
          <w:bCs/>
          <w:lang w:val="en-US"/>
        </w:rPr>
        <w:t>2024</w:t>
      </w:r>
      <w:r w:rsidRPr="00D944CD">
        <w:rPr>
          <w:rFonts w:ascii="Calibri" w:hAnsi="Calibri" w:cs="Calibri"/>
          <w:lang w:val="en-US"/>
        </w:rPr>
        <w:t xml:space="preserve">; 10(5):179–183. </w:t>
      </w:r>
    </w:p>
    <w:p w14:paraId="236D88C7" w14:textId="77777777" w:rsidR="009B1D0B" w:rsidRPr="00D944CD" w:rsidRDefault="009B1D0B" w:rsidP="009B1D0B">
      <w:pPr>
        <w:pStyle w:val="Bibliography"/>
        <w:rPr>
          <w:rFonts w:ascii="Calibri" w:hAnsi="Calibri" w:cs="Calibri"/>
          <w:lang w:val="en-US"/>
        </w:rPr>
      </w:pPr>
      <w:r w:rsidRPr="00D944CD">
        <w:rPr>
          <w:rFonts w:ascii="Calibri" w:hAnsi="Calibri" w:cs="Calibri"/>
          <w:lang w:val="en-US"/>
        </w:rPr>
        <w:t xml:space="preserve">13. </w:t>
      </w:r>
      <w:r w:rsidRPr="00D944CD">
        <w:rPr>
          <w:rFonts w:ascii="Calibri" w:hAnsi="Calibri" w:cs="Calibri"/>
          <w:lang w:val="en-US"/>
        </w:rPr>
        <w:tab/>
        <w:t xml:space="preserve">Moretti GTT, Fabiani G, Ferreira GME, Araujo JP de, Hummelgen E. Multiple sclerosis and optic neuritis triggered by COVID-19 mRNA. Neuroimmunol Rep. </w:t>
      </w:r>
      <w:r w:rsidRPr="00D944CD">
        <w:rPr>
          <w:rFonts w:ascii="Calibri" w:hAnsi="Calibri" w:cs="Calibri"/>
          <w:b/>
          <w:bCs/>
          <w:lang w:val="en-US"/>
        </w:rPr>
        <w:t>2024</w:t>
      </w:r>
      <w:r w:rsidRPr="00D944CD">
        <w:rPr>
          <w:rFonts w:ascii="Calibri" w:hAnsi="Calibri" w:cs="Calibri"/>
          <w:lang w:val="en-US"/>
        </w:rPr>
        <w:t xml:space="preserve">; 5:100198. </w:t>
      </w:r>
    </w:p>
    <w:p w14:paraId="3C2511CF" w14:textId="77777777" w:rsidR="009B1D0B" w:rsidRPr="00D944CD" w:rsidRDefault="009B1D0B" w:rsidP="009B1D0B">
      <w:pPr>
        <w:pStyle w:val="Bibliography"/>
        <w:rPr>
          <w:rFonts w:ascii="Calibri" w:hAnsi="Calibri" w:cs="Calibri"/>
          <w:lang w:val="en-US"/>
        </w:rPr>
      </w:pPr>
      <w:r w:rsidRPr="00D944CD">
        <w:rPr>
          <w:rFonts w:ascii="Calibri" w:hAnsi="Calibri" w:cs="Calibri"/>
          <w:lang w:val="en-US"/>
        </w:rPr>
        <w:t xml:space="preserve">14. </w:t>
      </w:r>
      <w:r w:rsidRPr="00D944CD">
        <w:rPr>
          <w:rFonts w:ascii="Calibri" w:hAnsi="Calibri" w:cs="Calibri"/>
          <w:lang w:val="en-US"/>
        </w:rPr>
        <w:tab/>
        <w:t xml:space="preserve">Ismail II, Salama S. A systematic review of cases of CNS demyelination following COVID-19 vaccination. J Neuroimmunol. </w:t>
      </w:r>
      <w:r w:rsidRPr="00D944CD">
        <w:rPr>
          <w:rFonts w:ascii="Calibri" w:hAnsi="Calibri" w:cs="Calibri"/>
          <w:b/>
          <w:bCs/>
          <w:lang w:val="en-US"/>
        </w:rPr>
        <w:t>2022</w:t>
      </w:r>
      <w:r w:rsidRPr="00D944CD">
        <w:rPr>
          <w:rFonts w:ascii="Calibri" w:hAnsi="Calibri" w:cs="Calibri"/>
          <w:lang w:val="en-US"/>
        </w:rPr>
        <w:t xml:space="preserve">; 362:577765. </w:t>
      </w:r>
    </w:p>
    <w:p w14:paraId="75291208" w14:textId="77777777" w:rsidR="009B1D0B" w:rsidRPr="00D944CD" w:rsidRDefault="009B1D0B" w:rsidP="009B1D0B">
      <w:pPr>
        <w:pStyle w:val="Bibliography"/>
        <w:rPr>
          <w:rFonts w:ascii="Calibri" w:hAnsi="Calibri" w:cs="Calibri"/>
          <w:lang w:val="en-US"/>
        </w:rPr>
      </w:pPr>
      <w:r w:rsidRPr="00D944CD">
        <w:rPr>
          <w:rFonts w:ascii="Calibri" w:hAnsi="Calibri" w:cs="Calibri"/>
          <w:lang w:val="en-US"/>
        </w:rPr>
        <w:t xml:space="preserve">15. </w:t>
      </w:r>
      <w:r w:rsidRPr="00D944CD">
        <w:rPr>
          <w:rFonts w:ascii="Calibri" w:hAnsi="Calibri" w:cs="Calibri"/>
          <w:lang w:val="en-US"/>
        </w:rPr>
        <w:tab/>
        <w:t>Hoffmann SS, Nielsen S, Thysen SM, Duriseti R, Benn CS. Overall Health Effects of mRNA COVID-19 Vaccines in Children and Adolescents A Systematic Review and Meta-Analysis [Internet]. medRxiv; 2024 [cited 2024 Oct 31]. p. 2023.12.07.23298573. Available from: https://www.medrxiv.org/content/10.1101/2023.12.07.23298573v3</w:t>
      </w:r>
    </w:p>
    <w:p w14:paraId="43A5A2F5" w14:textId="77777777" w:rsidR="009B1D0B" w:rsidRPr="00D944CD" w:rsidRDefault="009B1D0B" w:rsidP="009B1D0B">
      <w:pPr>
        <w:pStyle w:val="Bibliography"/>
        <w:rPr>
          <w:rFonts w:ascii="Calibri" w:hAnsi="Calibri" w:cs="Calibri"/>
          <w:lang w:val="en-US"/>
        </w:rPr>
      </w:pPr>
      <w:r w:rsidRPr="00D944CD">
        <w:rPr>
          <w:rFonts w:ascii="Calibri" w:hAnsi="Calibri" w:cs="Calibri"/>
          <w:lang w:val="en-US"/>
        </w:rPr>
        <w:t xml:space="preserve">16. </w:t>
      </w:r>
      <w:r w:rsidRPr="00D944CD">
        <w:rPr>
          <w:rFonts w:ascii="Calibri" w:hAnsi="Calibri" w:cs="Calibri"/>
          <w:lang w:val="en-US"/>
        </w:rPr>
        <w:tab/>
        <w:t xml:space="preserve">Kim HJ, Kim M-H, Choi MG, Chun EM. Psychiatric adverse events following COVID-19 vaccination: a population-based cohort study in Seoul, South Korea. Mol Psychiatry. </w:t>
      </w:r>
      <w:r w:rsidRPr="00D944CD">
        <w:rPr>
          <w:rFonts w:ascii="Calibri" w:hAnsi="Calibri" w:cs="Calibri"/>
          <w:b/>
          <w:bCs/>
          <w:lang w:val="en-US"/>
        </w:rPr>
        <w:t>2024</w:t>
      </w:r>
      <w:r w:rsidRPr="00D944CD">
        <w:rPr>
          <w:rFonts w:ascii="Calibri" w:hAnsi="Calibri" w:cs="Calibri"/>
          <w:lang w:val="en-US"/>
        </w:rPr>
        <w:t xml:space="preserve">; 29(11):3635–3643. </w:t>
      </w:r>
    </w:p>
    <w:p w14:paraId="44697A21" w14:textId="77777777" w:rsidR="009B1D0B" w:rsidRPr="00E5078C" w:rsidRDefault="009B1D0B" w:rsidP="009B1D0B">
      <w:pPr>
        <w:pStyle w:val="Bibliography"/>
        <w:rPr>
          <w:rFonts w:ascii="Calibri" w:hAnsi="Calibri" w:cs="Calibri"/>
        </w:rPr>
      </w:pPr>
      <w:r w:rsidRPr="00D944CD">
        <w:rPr>
          <w:rFonts w:ascii="Calibri" w:hAnsi="Calibri" w:cs="Calibri"/>
          <w:lang w:val="en-US"/>
        </w:rPr>
        <w:t xml:space="preserve">17. </w:t>
      </w:r>
      <w:r w:rsidRPr="00D944CD">
        <w:rPr>
          <w:rFonts w:ascii="Calibri" w:hAnsi="Calibri" w:cs="Calibri"/>
          <w:lang w:val="en-US"/>
        </w:rPr>
        <w:tab/>
        <w:t xml:space="preserve">Godoy IRB, Rodrigues TC, Skaf A. Myositis ossificans following COVID-19 vaccination. </w:t>
      </w:r>
      <w:r w:rsidRPr="00E5078C">
        <w:rPr>
          <w:rFonts w:ascii="Calibri" w:hAnsi="Calibri" w:cs="Calibri"/>
        </w:rPr>
        <w:t xml:space="preserve">QJM Int J Med. </w:t>
      </w:r>
      <w:r w:rsidRPr="00E5078C">
        <w:rPr>
          <w:rFonts w:ascii="Calibri" w:hAnsi="Calibri" w:cs="Calibri"/>
          <w:b/>
          <w:bCs/>
        </w:rPr>
        <w:t>2021</w:t>
      </w:r>
      <w:r w:rsidRPr="00E5078C">
        <w:rPr>
          <w:rFonts w:ascii="Calibri" w:hAnsi="Calibri" w:cs="Calibri"/>
        </w:rPr>
        <w:t xml:space="preserve">; 114(9):659–660. </w:t>
      </w:r>
    </w:p>
    <w:p w14:paraId="1D7F17C3" w14:textId="77777777" w:rsidR="009B1D0B" w:rsidRPr="009B1D0B" w:rsidRDefault="009B1D0B" w:rsidP="009B1D0B">
      <w:pPr>
        <w:pStyle w:val="Bibliography"/>
        <w:rPr>
          <w:rFonts w:ascii="Calibri" w:hAnsi="Calibri" w:cs="Calibri"/>
        </w:rPr>
      </w:pPr>
      <w:r w:rsidRPr="00E5078C">
        <w:rPr>
          <w:rFonts w:ascii="Calibri" w:hAnsi="Calibri" w:cs="Calibri"/>
        </w:rPr>
        <w:t xml:space="preserve">18. </w:t>
      </w:r>
      <w:r w:rsidRPr="00E5078C">
        <w:rPr>
          <w:rFonts w:ascii="Calibri" w:hAnsi="Calibri" w:cs="Calibri"/>
        </w:rPr>
        <w:tab/>
        <w:t xml:space="preserve">Semmler A, Mundorf AK, Kuechler AS, et al. </w:t>
      </w:r>
      <w:r w:rsidRPr="00D944CD">
        <w:rPr>
          <w:rFonts w:ascii="Calibri" w:hAnsi="Calibri" w:cs="Calibri"/>
          <w:lang w:val="en-US"/>
        </w:rPr>
        <w:t xml:space="preserve">Chronic Fatigue and Dysautonomia following COVID-19 Vaccination Is Distinguished from Normal Vaccination Response by Altered Blood Markers. </w:t>
      </w:r>
      <w:r w:rsidRPr="009B1D0B">
        <w:rPr>
          <w:rFonts w:ascii="Calibri" w:hAnsi="Calibri" w:cs="Calibri"/>
        </w:rPr>
        <w:t xml:space="preserve">Vaccines. </w:t>
      </w:r>
      <w:r w:rsidRPr="009B1D0B">
        <w:rPr>
          <w:rFonts w:ascii="Calibri" w:hAnsi="Calibri" w:cs="Calibri"/>
          <w:b/>
          <w:bCs/>
        </w:rPr>
        <w:t>2023</w:t>
      </w:r>
      <w:r w:rsidRPr="009B1D0B">
        <w:rPr>
          <w:rFonts w:ascii="Calibri" w:hAnsi="Calibri" w:cs="Calibri"/>
        </w:rPr>
        <w:t xml:space="preserve">; 11(11):1642. </w:t>
      </w:r>
    </w:p>
    <w:p w14:paraId="79A13C60" w14:textId="43920F29" w:rsidR="0091182B" w:rsidRPr="0098526D" w:rsidRDefault="00363623" w:rsidP="00D266E9">
      <w:pPr>
        <w:rPr>
          <w:lang w:val="en-US"/>
        </w:rPr>
      </w:pPr>
      <w:r>
        <w:rPr>
          <w:lang w:val="en-US"/>
        </w:rPr>
        <w:fldChar w:fldCharType="end"/>
      </w:r>
    </w:p>
    <w:sectPr w:rsidR="0091182B" w:rsidRPr="0098526D" w:rsidSect="002C2C01">
      <w:headerReference w:type="default" r:id="rId7"/>
      <w:pgSz w:w="16838" w:h="11906" w:orient="landscape"/>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E75D0" w14:textId="77777777" w:rsidR="00057FD7" w:rsidRDefault="00057FD7" w:rsidP="00057FD7">
      <w:pPr>
        <w:spacing w:after="0" w:line="240" w:lineRule="auto"/>
      </w:pPr>
      <w:r>
        <w:separator/>
      </w:r>
    </w:p>
  </w:endnote>
  <w:endnote w:type="continuationSeparator" w:id="0">
    <w:p w14:paraId="29818E03" w14:textId="77777777" w:rsidR="00057FD7" w:rsidRDefault="00057FD7" w:rsidP="00057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6614A" w14:textId="77777777" w:rsidR="00057FD7" w:rsidRDefault="00057FD7" w:rsidP="00057FD7">
      <w:pPr>
        <w:spacing w:after="0" w:line="240" w:lineRule="auto"/>
      </w:pPr>
      <w:r>
        <w:separator/>
      </w:r>
    </w:p>
  </w:footnote>
  <w:footnote w:type="continuationSeparator" w:id="0">
    <w:p w14:paraId="4D683A0E" w14:textId="77777777" w:rsidR="00057FD7" w:rsidRDefault="00057FD7" w:rsidP="00057F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255FC" w14:textId="77777777" w:rsidR="00370A06" w:rsidRPr="00222960" w:rsidRDefault="00370A06" w:rsidP="00370A06">
    <w:pPr>
      <w:pStyle w:val="Header"/>
      <w:rPr>
        <w:lang w:val="en-US"/>
      </w:rPr>
    </w:pPr>
    <w:r w:rsidRPr="00222960">
      <w:rPr>
        <w:lang w:val="en-US"/>
      </w:rPr>
      <w:t>Potential adverse events after COVID-19 mRNA vaccines.</w:t>
    </w:r>
  </w:p>
  <w:p w14:paraId="2FACDFDB" w14:textId="77777777" w:rsidR="00370A06" w:rsidRPr="00370A06" w:rsidRDefault="00370A06">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E0631B"/>
    <w:multiLevelType w:val="hybridMultilevel"/>
    <w:tmpl w:val="FFEC885A"/>
    <w:lvl w:ilvl="0" w:tplc="DB8E97DA">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109153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FC2"/>
    <w:rsid w:val="00005088"/>
    <w:rsid w:val="00006540"/>
    <w:rsid w:val="0000741A"/>
    <w:rsid w:val="000211B6"/>
    <w:rsid w:val="00031131"/>
    <w:rsid w:val="00031DE6"/>
    <w:rsid w:val="00043AFC"/>
    <w:rsid w:val="000457F5"/>
    <w:rsid w:val="000514B0"/>
    <w:rsid w:val="00053E44"/>
    <w:rsid w:val="00057FD7"/>
    <w:rsid w:val="0006089D"/>
    <w:rsid w:val="00084A64"/>
    <w:rsid w:val="00093281"/>
    <w:rsid w:val="000933A4"/>
    <w:rsid w:val="000B2AE4"/>
    <w:rsid w:val="000D0250"/>
    <w:rsid w:val="000E46EB"/>
    <w:rsid w:val="001035F1"/>
    <w:rsid w:val="001134BC"/>
    <w:rsid w:val="00121071"/>
    <w:rsid w:val="00124F52"/>
    <w:rsid w:val="001259B5"/>
    <w:rsid w:val="001423BC"/>
    <w:rsid w:val="00142515"/>
    <w:rsid w:val="00142BE2"/>
    <w:rsid w:val="00155D87"/>
    <w:rsid w:val="001578C2"/>
    <w:rsid w:val="00180EC5"/>
    <w:rsid w:val="00186F22"/>
    <w:rsid w:val="001A147E"/>
    <w:rsid w:val="001D7012"/>
    <w:rsid w:val="001E5174"/>
    <w:rsid w:val="001E585C"/>
    <w:rsid w:val="001E7465"/>
    <w:rsid w:val="001F2F18"/>
    <w:rsid w:val="00201B09"/>
    <w:rsid w:val="002034ED"/>
    <w:rsid w:val="00234B0D"/>
    <w:rsid w:val="00244BA6"/>
    <w:rsid w:val="002501B8"/>
    <w:rsid w:val="00252B35"/>
    <w:rsid w:val="002532F5"/>
    <w:rsid w:val="002628F1"/>
    <w:rsid w:val="00263FE8"/>
    <w:rsid w:val="002748C0"/>
    <w:rsid w:val="002868CF"/>
    <w:rsid w:val="0028728F"/>
    <w:rsid w:val="002922AB"/>
    <w:rsid w:val="002A03EF"/>
    <w:rsid w:val="002C2C01"/>
    <w:rsid w:val="002C5CA9"/>
    <w:rsid w:val="002C73AA"/>
    <w:rsid w:val="002C747A"/>
    <w:rsid w:val="002D4AAF"/>
    <w:rsid w:val="002D65A5"/>
    <w:rsid w:val="002D77BE"/>
    <w:rsid w:val="002E346D"/>
    <w:rsid w:val="002F32F7"/>
    <w:rsid w:val="00300D46"/>
    <w:rsid w:val="003219AB"/>
    <w:rsid w:val="003325F8"/>
    <w:rsid w:val="00333D40"/>
    <w:rsid w:val="00363623"/>
    <w:rsid w:val="003658EB"/>
    <w:rsid w:val="00370A06"/>
    <w:rsid w:val="00371052"/>
    <w:rsid w:val="0037141E"/>
    <w:rsid w:val="00375D10"/>
    <w:rsid w:val="0038568E"/>
    <w:rsid w:val="003A332A"/>
    <w:rsid w:val="003C5E03"/>
    <w:rsid w:val="003E14DD"/>
    <w:rsid w:val="003F7DE4"/>
    <w:rsid w:val="00426ABF"/>
    <w:rsid w:val="00444F49"/>
    <w:rsid w:val="0044537C"/>
    <w:rsid w:val="004517A2"/>
    <w:rsid w:val="00474494"/>
    <w:rsid w:val="0048778A"/>
    <w:rsid w:val="00493DA5"/>
    <w:rsid w:val="00494D5A"/>
    <w:rsid w:val="004D2E03"/>
    <w:rsid w:val="004D7D1A"/>
    <w:rsid w:val="004E0549"/>
    <w:rsid w:val="004E24E8"/>
    <w:rsid w:val="004F426C"/>
    <w:rsid w:val="004F766B"/>
    <w:rsid w:val="0050640A"/>
    <w:rsid w:val="00522D26"/>
    <w:rsid w:val="0052320C"/>
    <w:rsid w:val="005318D4"/>
    <w:rsid w:val="0054595A"/>
    <w:rsid w:val="00556235"/>
    <w:rsid w:val="00567ED1"/>
    <w:rsid w:val="0058515D"/>
    <w:rsid w:val="00586B58"/>
    <w:rsid w:val="005924CC"/>
    <w:rsid w:val="005B1936"/>
    <w:rsid w:val="005C0D59"/>
    <w:rsid w:val="005C49F6"/>
    <w:rsid w:val="005D6E06"/>
    <w:rsid w:val="005E4F33"/>
    <w:rsid w:val="005F7D97"/>
    <w:rsid w:val="00616D46"/>
    <w:rsid w:val="00621EAE"/>
    <w:rsid w:val="00624F14"/>
    <w:rsid w:val="00631F0E"/>
    <w:rsid w:val="00637826"/>
    <w:rsid w:val="0066185F"/>
    <w:rsid w:val="00673232"/>
    <w:rsid w:val="0067515C"/>
    <w:rsid w:val="00675965"/>
    <w:rsid w:val="00677CCF"/>
    <w:rsid w:val="006B05D7"/>
    <w:rsid w:val="006B3EE8"/>
    <w:rsid w:val="006C36FF"/>
    <w:rsid w:val="006C7FD0"/>
    <w:rsid w:val="006D7181"/>
    <w:rsid w:val="006F2659"/>
    <w:rsid w:val="006F5BA3"/>
    <w:rsid w:val="00713894"/>
    <w:rsid w:val="007208C8"/>
    <w:rsid w:val="00725971"/>
    <w:rsid w:val="00732558"/>
    <w:rsid w:val="00742FF8"/>
    <w:rsid w:val="00761A53"/>
    <w:rsid w:val="00766C48"/>
    <w:rsid w:val="00767E46"/>
    <w:rsid w:val="007752B1"/>
    <w:rsid w:val="007A3F5C"/>
    <w:rsid w:val="007A4548"/>
    <w:rsid w:val="007A463E"/>
    <w:rsid w:val="007B3EEA"/>
    <w:rsid w:val="007C3E2F"/>
    <w:rsid w:val="007D5322"/>
    <w:rsid w:val="007E0FAE"/>
    <w:rsid w:val="007E233D"/>
    <w:rsid w:val="007F3FBC"/>
    <w:rsid w:val="007F7371"/>
    <w:rsid w:val="00815E2E"/>
    <w:rsid w:val="008171F9"/>
    <w:rsid w:val="00831AC5"/>
    <w:rsid w:val="0088038A"/>
    <w:rsid w:val="00893CA8"/>
    <w:rsid w:val="00894595"/>
    <w:rsid w:val="00895F29"/>
    <w:rsid w:val="008974B7"/>
    <w:rsid w:val="008C04BF"/>
    <w:rsid w:val="008D025D"/>
    <w:rsid w:val="008D69DA"/>
    <w:rsid w:val="008E19AC"/>
    <w:rsid w:val="008F7DA4"/>
    <w:rsid w:val="00904E4B"/>
    <w:rsid w:val="009062E6"/>
    <w:rsid w:val="0091182B"/>
    <w:rsid w:val="00916EBF"/>
    <w:rsid w:val="00923736"/>
    <w:rsid w:val="009242AD"/>
    <w:rsid w:val="00924529"/>
    <w:rsid w:val="0092784C"/>
    <w:rsid w:val="00927C44"/>
    <w:rsid w:val="009428C1"/>
    <w:rsid w:val="0096240C"/>
    <w:rsid w:val="00962B6F"/>
    <w:rsid w:val="0096654A"/>
    <w:rsid w:val="0098526D"/>
    <w:rsid w:val="009920D1"/>
    <w:rsid w:val="009A2414"/>
    <w:rsid w:val="009A2618"/>
    <w:rsid w:val="009B1766"/>
    <w:rsid w:val="009B1D0B"/>
    <w:rsid w:val="009B3C21"/>
    <w:rsid w:val="009B6516"/>
    <w:rsid w:val="009D57CF"/>
    <w:rsid w:val="009F7DFC"/>
    <w:rsid w:val="00A10233"/>
    <w:rsid w:val="00A21A68"/>
    <w:rsid w:val="00A26F39"/>
    <w:rsid w:val="00A349AB"/>
    <w:rsid w:val="00A35E37"/>
    <w:rsid w:val="00A43609"/>
    <w:rsid w:val="00A449B7"/>
    <w:rsid w:val="00A47497"/>
    <w:rsid w:val="00A52251"/>
    <w:rsid w:val="00A546DB"/>
    <w:rsid w:val="00A57452"/>
    <w:rsid w:val="00A8027C"/>
    <w:rsid w:val="00A87FB6"/>
    <w:rsid w:val="00A93C0E"/>
    <w:rsid w:val="00A94907"/>
    <w:rsid w:val="00AB35C7"/>
    <w:rsid w:val="00AC1533"/>
    <w:rsid w:val="00AC53DA"/>
    <w:rsid w:val="00B201BA"/>
    <w:rsid w:val="00B23BAC"/>
    <w:rsid w:val="00B25A0E"/>
    <w:rsid w:val="00B44FC0"/>
    <w:rsid w:val="00B4592D"/>
    <w:rsid w:val="00B5164C"/>
    <w:rsid w:val="00B52E46"/>
    <w:rsid w:val="00B73C8D"/>
    <w:rsid w:val="00B84D6D"/>
    <w:rsid w:val="00B864F5"/>
    <w:rsid w:val="00B87DE7"/>
    <w:rsid w:val="00B904E6"/>
    <w:rsid w:val="00BA486E"/>
    <w:rsid w:val="00BB2760"/>
    <w:rsid w:val="00BC1C9D"/>
    <w:rsid w:val="00BD0740"/>
    <w:rsid w:val="00BD7FB1"/>
    <w:rsid w:val="00BE43FF"/>
    <w:rsid w:val="00BE44E0"/>
    <w:rsid w:val="00BE638C"/>
    <w:rsid w:val="00C01305"/>
    <w:rsid w:val="00C07B10"/>
    <w:rsid w:val="00C10D9F"/>
    <w:rsid w:val="00C1739F"/>
    <w:rsid w:val="00C217A8"/>
    <w:rsid w:val="00C3522C"/>
    <w:rsid w:val="00C61060"/>
    <w:rsid w:val="00C9239D"/>
    <w:rsid w:val="00C96104"/>
    <w:rsid w:val="00CB228C"/>
    <w:rsid w:val="00CB59FE"/>
    <w:rsid w:val="00CD182B"/>
    <w:rsid w:val="00CD4E4A"/>
    <w:rsid w:val="00CE688D"/>
    <w:rsid w:val="00CE72B2"/>
    <w:rsid w:val="00CF5DBB"/>
    <w:rsid w:val="00D00B8F"/>
    <w:rsid w:val="00D03BA1"/>
    <w:rsid w:val="00D04501"/>
    <w:rsid w:val="00D20AB2"/>
    <w:rsid w:val="00D25B13"/>
    <w:rsid w:val="00D266E9"/>
    <w:rsid w:val="00D61690"/>
    <w:rsid w:val="00D65F45"/>
    <w:rsid w:val="00D77366"/>
    <w:rsid w:val="00D83D67"/>
    <w:rsid w:val="00D944CD"/>
    <w:rsid w:val="00DA3746"/>
    <w:rsid w:val="00DA78F0"/>
    <w:rsid w:val="00DB1A1E"/>
    <w:rsid w:val="00DB729F"/>
    <w:rsid w:val="00DD332E"/>
    <w:rsid w:val="00DD7ED6"/>
    <w:rsid w:val="00DF05F5"/>
    <w:rsid w:val="00DF2047"/>
    <w:rsid w:val="00DF7532"/>
    <w:rsid w:val="00E13292"/>
    <w:rsid w:val="00E13F84"/>
    <w:rsid w:val="00E15633"/>
    <w:rsid w:val="00E2175E"/>
    <w:rsid w:val="00E42EFF"/>
    <w:rsid w:val="00E5078C"/>
    <w:rsid w:val="00E5587A"/>
    <w:rsid w:val="00E607EB"/>
    <w:rsid w:val="00E65DAB"/>
    <w:rsid w:val="00E72519"/>
    <w:rsid w:val="00E735E4"/>
    <w:rsid w:val="00E7452D"/>
    <w:rsid w:val="00E85D72"/>
    <w:rsid w:val="00E9087D"/>
    <w:rsid w:val="00E94A7E"/>
    <w:rsid w:val="00EA21A2"/>
    <w:rsid w:val="00EA4298"/>
    <w:rsid w:val="00EA54F3"/>
    <w:rsid w:val="00EA72B0"/>
    <w:rsid w:val="00EB710D"/>
    <w:rsid w:val="00EC70D1"/>
    <w:rsid w:val="00ED3428"/>
    <w:rsid w:val="00EF09F9"/>
    <w:rsid w:val="00EF77C4"/>
    <w:rsid w:val="00F01E95"/>
    <w:rsid w:val="00F02B1D"/>
    <w:rsid w:val="00F060B5"/>
    <w:rsid w:val="00F06A67"/>
    <w:rsid w:val="00F14B2F"/>
    <w:rsid w:val="00F2647C"/>
    <w:rsid w:val="00F42E31"/>
    <w:rsid w:val="00F57723"/>
    <w:rsid w:val="00F63FC2"/>
    <w:rsid w:val="00F71779"/>
    <w:rsid w:val="00F91ABB"/>
    <w:rsid w:val="00FA1D82"/>
    <w:rsid w:val="00FA338F"/>
    <w:rsid w:val="00FA46C3"/>
    <w:rsid w:val="00FA48BA"/>
    <w:rsid w:val="00FA614F"/>
    <w:rsid w:val="00FB1F67"/>
    <w:rsid w:val="00FB22DD"/>
    <w:rsid w:val="00FF49F5"/>
    <w:rsid w:val="00FF770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A6325"/>
  <w15:chartTrackingRefBased/>
  <w15:docId w15:val="{239239E2-8668-48BB-BDD3-2A3BEC233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3F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63F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3FC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63FC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3FC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3F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3F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3F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3F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3F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3F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3FC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3FC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3FC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3F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3F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3F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3FC2"/>
    <w:rPr>
      <w:rFonts w:eastAsiaTheme="majorEastAsia" w:cstheme="majorBidi"/>
      <w:color w:val="272727" w:themeColor="text1" w:themeTint="D8"/>
    </w:rPr>
  </w:style>
  <w:style w:type="paragraph" w:styleId="Title">
    <w:name w:val="Title"/>
    <w:basedOn w:val="Normal"/>
    <w:next w:val="Normal"/>
    <w:link w:val="TitleChar"/>
    <w:uiPriority w:val="10"/>
    <w:qFormat/>
    <w:rsid w:val="00F63F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3F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3F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3F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3FC2"/>
    <w:pPr>
      <w:spacing w:before="160"/>
      <w:jc w:val="center"/>
    </w:pPr>
    <w:rPr>
      <w:i/>
      <w:iCs/>
      <w:color w:val="404040" w:themeColor="text1" w:themeTint="BF"/>
    </w:rPr>
  </w:style>
  <w:style w:type="character" w:customStyle="1" w:styleId="QuoteChar">
    <w:name w:val="Quote Char"/>
    <w:basedOn w:val="DefaultParagraphFont"/>
    <w:link w:val="Quote"/>
    <w:uiPriority w:val="29"/>
    <w:rsid w:val="00F63FC2"/>
    <w:rPr>
      <w:i/>
      <w:iCs/>
      <w:color w:val="404040" w:themeColor="text1" w:themeTint="BF"/>
    </w:rPr>
  </w:style>
  <w:style w:type="paragraph" w:styleId="ListParagraph">
    <w:name w:val="List Paragraph"/>
    <w:basedOn w:val="Normal"/>
    <w:uiPriority w:val="34"/>
    <w:qFormat/>
    <w:rsid w:val="00F63FC2"/>
    <w:pPr>
      <w:ind w:left="720"/>
      <w:contextualSpacing/>
    </w:pPr>
  </w:style>
  <w:style w:type="character" w:styleId="IntenseEmphasis">
    <w:name w:val="Intense Emphasis"/>
    <w:basedOn w:val="DefaultParagraphFont"/>
    <w:uiPriority w:val="21"/>
    <w:qFormat/>
    <w:rsid w:val="00F63FC2"/>
    <w:rPr>
      <w:i/>
      <w:iCs/>
      <w:color w:val="2F5496" w:themeColor="accent1" w:themeShade="BF"/>
    </w:rPr>
  </w:style>
  <w:style w:type="paragraph" w:styleId="IntenseQuote">
    <w:name w:val="Intense Quote"/>
    <w:basedOn w:val="Normal"/>
    <w:next w:val="Normal"/>
    <w:link w:val="IntenseQuoteChar"/>
    <w:uiPriority w:val="30"/>
    <w:qFormat/>
    <w:rsid w:val="00F63F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3FC2"/>
    <w:rPr>
      <w:i/>
      <w:iCs/>
      <w:color w:val="2F5496" w:themeColor="accent1" w:themeShade="BF"/>
    </w:rPr>
  </w:style>
  <w:style w:type="character" w:styleId="IntenseReference">
    <w:name w:val="Intense Reference"/>
    <w:basedOn w:val="DefaultParagraphFont"/>
    <w:uiPriority w:val="32"/>
    <w:qFormat/>
    <w:rsid w:val="00F63FC2"/>
    <w:rPr>
      <w:b/>
      <w:bCs/>
      <w:smallCaps/>
      <w:color w:val="2F5496" w:themeColor="accent1" w:themeShade="BF"/>
      <w:spacing w:val="5"/>
    </w:rPr>
  </w:style>
  <w:style w:type="table" w:styleId="TableGrid">
    <w:name w:val="Table Grid"/>
    <w:basedOn w:val="TableNormal"/>
    <w:uiPriority w:val="39"/>
    <w:rsid w:val="00F63F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363623"/>
    <w:pPr>
      <w:tabs>
        <w:tab w:val="left" w:pos="504"/>
      </w:tabs>
      <w:spacing w:after="240" w:line="240" w:lineRule="auto"/>
      <w:ind w:left="504" w:hanging="504"/>
    </w:pPr>
  </w:style>
  <w:style w:type="character" w:styleId="CommentReference">
    <w:name w:val="annotation reference"/>
    <w:basedOn w:val="DefaultParagraphFont"/>
    <w:uiPriority w:val="99"/>
    <w:semiHidden/>
    <w:unhideWhenUsed/>
    <w:rsid w:val="00FB1F67"/>
    <w:rPr>
      <w:sz w:val="16"/>
      <w:szCs w:val="16"/>
    </w:rPr>
  </w:style>
  <w:style w:type="paragraph" w:styleId="CommentText">
    <w:name w:val="annotation text"/>
    <w:basedOn w:val="Normal"/>
    <w:link w:val="CommentTextChar"/>
    <w:uiPriority w:val="99"/>
    <w:unhideWhenUsed/>
    <w:rsid w:val="00FB1F67"/>
    <w:pPr>
      <w:spacing w:line="240" w:lineRule="auto"/>
    </w:pPr>
    <w:rPr>
      <w:sz w:val="20"/>
      <w:szCs w:val="20"/>
    </w:rPr>
  </w:style>
  <w:style w:type="character" w:customStyle="1" w:styleId="CommentTextChar">
    <w:name w:val="Comment Text Char"/>
    <w:basedOn w:val="DefaultParagraphFont"/>
    <w:link w:val="CommentText"/>
    <w:uiPriority w:val="99"/>
    <w:rsid w:val="00FB1F67"/>
    <w:rPr>
      <w:sz w:val="20"/>
      <w:szCs w:val="20"/>
    </w:rPr>
  </w:style>
  <w:style w:type="paragraph" w:styleId="CommentSubject">
    <w:name w:val="annotation subject"/>
    <w:basedOn w:val="CommentText"/>
    <w:next w:val="CommentText"/>
    <w:link w:val="CommentSubjectChar"/>
    <w:uiPriority w:val="99"/>
    <w:semiHidden/>
    <w:unhideWhenUsed/>
    <w:rsid w:val="00FB1F67"/>
    <w:rPr>
      <w:b/>
      <w:bCs/>
    </w:rPr>
  </w:style>
  <w:style w:type="character" w:customStyle="1" w:styleId="CommentSubjectChar">
    <w:name w:val="Comment Subject Char"/>
    <w:basedOn w:val="CommentTextChar"/>
    <w:link w:val="CommentSubject"/>
    <w:uiPriority w:val="99"/>
    <w:semiHidden/>
    <w:rsid w:val="00FB1F67"/>
    <w:rPr>
      <w:b/>
      <w:bCs/>
      <w:sz w:val="20"/>
      <w:szCs w:val="20"/>
    </w:rPr>
  </w:style>
  <w:style w:type="paragraph" w:styleId="Revision">
    <w:name w:val="Revision"/>
    <w:hidden/>
    <w:uiPriority w:val="99"/>
    <w:semiHidden/>
    <w:rsid w:val="002868CF"/>
    <w:pPr>
      <w:spacing w:after="0" w:line="240" w:lineRule="auto"/>
    </w:pPr>
  </w:style>
  <w:style w:type="paragraph" w:styleId="Header">
    <w:name w:val="header"/>
    <w:basedOn w:val="Normal"/>
    <w:link w:val="HeaderChar"/>
    <w:uiPriority w:val="99"/>
    <w:unhideWhenUsed/>
    <w:rsid w:val="00057FD7"/>
    <w:pPr>
      <w:tabs>
        <w:tab w:val="center" w:pos="4819"/>
        <w:tab w:val="right" w:pos="9638"/>
      </w:tabs>
      <w:spacing w:after="0" w:line="240" w:lineRule="auto"/>
    </w:pPr>
  </w:style>
  <w:style w:type="character" w:customStyle="1" w:styleId="HeaderChar">
    <w:name w:val="Header Char"/>
    <w:basedOn w:val="DefaultParagraphFont"/>
    <w:link w:val="Header"/>
    <w:uiPriority w:val="99"/>
    <w:rsid w:val="00057FD7"/>
  </w:style>
  <w:style w:type="paragraph" w:styleId="Footer">
    <w:name w:val="footer"/>
    <w:basedOn w:val="Normal"/>
    <w:link w:val="FooterChar"/>
    <w:uiPriority w:val="99"/>
    <w:unhideWhenUsed/>
    <w:rsid w:val="00057FD7"/>
    <w:pPr>
      <w:tabs>
        <w:tab w:val="center" w:pos="4819"/>
        <w:tab w:val="right" w:pos="9638"/>
      </w:tabs>
      <w:spacing w:after="0" w:line="240" w:lineRule="auto"/>
    </w:pPr>
  </w:style>
  <w:style w:type="character" w:customStyle="1" w:styleId="FooterChar">
    <w:name w:val="Footer Char"/>
    <w:basedOn w:val="DefaultParagraphFont"/>
    <w:link w:val="Footer"/>
    <w:uiPriority w:val="99"/>
    <w:rsid w:val="00057F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9084</Words>
  <Characters>55416</Characters>
  <Application>Microsoft Office Word</Application>
  <DocSecurity>0</DocSecurity>
  <Lines>461</Lines>
  <Paragraphs>128</Paragraphs>
  <ScaleCrop>false</ScaleCrop>
  <HeadingPairs>
    <vt:vector size="2" baseType="variant">
      <vt:variant>
        <vt:lpstr>Titel</vt:lpstr>
      </vt:variant>
      <vt:variant>
        <vt:i4>1</vt:i4>
      </vt:variant>
    </vt:vector>
  </HeadingPairs>
  <TitlesOfParts>
    <vt:vector size="1" baseType="lpstr">
      <vt:lpstr/>
    </vt:vector>
  </TitlesOfParts>
  <Company>SDU</Company>
  <LinksUpToDate>false</LinksUpToDate>
  <CharactersWithSpaces>64372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Stine Skovbo Hoffmann</dc:creator>
  <cp:keywords/>
  <dc:description/>
  <cp:lastModifiedBy>Stine Skovbo Hoffmann</cp:lastModifiedBy>
  <cp:revision>14</cp:revision>
  <dcterms:created xsi:type="dcterms:W3CDTF">2025-03-04T10:11:00Z</dcterms:created>
  <dcterms:modified xsi:type="dcterms:W3CDTF">2025-05-28T09:53:00Z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zotero-version="6.0.27"&gt;&lt;session id="lyuutXPo"/&gt;&lt;style id="http://www.zotero.org/styles/journal-of-infectious-diseases" hasBibliography="1" bibliographyStyleHasBeenSet="1"/&gt;&lt;prefs&gt;&lt;pref name="fieldType" value="Field"/&gt;&lt;pref name="au</vt:lpwstr>
  </property>
  <property fmtid="{D5CDD505-2E9C-101B-9397-08002B2CF9AE}" pid="3" name="ZOTERO_PREF_2">
    <vt:lpwstr>tomaticJournalAbbreviations" value="true"/&gt;&lt;pref name="delayCitationUpdates" value="true"/&gt;&lt;pref name="dontAskDelayCitationUpdates" value="true"/&gt;&lt;/prefs&gt;&lt;/data&gt;</vt:lpwstr>
  </property>
</Properties>
</file>